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02" w:rsidRPr="00904902" w:rsidRDefault="00904902" w:rsidP="00904902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904902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 xml:space="preserve">Dotazioni organiche dirigenti scolastici </w:t>
      </w:r>
      <w:proofErr w:type="spellStart"/>
      <w:r w:rsidRPr="00904902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a.s.</w:t>
      </w:r>
      <w:proofErr w:type="spellEnd"/>
      <w:r w:rsidRPr="00904902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 xml:space="preserve"> 2022/2023: informativa al ministero</w:t>
      </w:r>
    </w:p>
    <w:p w:rsidR="00904902" w:rsidRPr="00904902" w:rsidRDefault="00904902" w:rsidP="00904902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904902">
        <w:rPr>
          <w:rFonts w:ascii="Arial" w:eastAsia="Times New Roman" w:hAnsi="Arial" w:cs="Arial"/>
          <w:color w:val="535353"/>
          <w:sz w:val="27"/>
          <w:szCs w:val="27"/>
          <w:lang w:eastAsia="it-IT"/>
        </w:rPr>
        <w:t>Diminuisce il numero complessivo delle scuole e aumentano le sottodimensionate. Di nuovo annullati gli effetti dell’emendamento sul dimensionamento che non aumenterà i posti in organico. Fermo dissenso della FLC CGIL sulle modalità di calcolo delle percentuali per la mobilità interregionale.</w:t>
      </w:r>
    </w:p>
    <w:p w:rsidR="00904902" w:rsidRPr="00904902" w:rsidRDefault="00904902" w:rsidP="0090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it-IT"/>
        </w:rPr>
      </w:pPr>
      <w:r w:rsidRPr="00904902">
        <w:rPr>
          <w:rFonts w:ascii="Arial" w:eastAsia="Times New Roman" w:hAnsi="Arial" w:cs="Arial"/>
          <w:b/>
          <w:bCs/>
          <w:color w:val="4D4D4D"/>
          <w:sz w:val="21"/>
          <w:szCs w:val="21"/>
          <w:lang w:eastAsia="it-IT"/>
        </w:rPr>
        <w:t>22/04/2022</w:t>
      </w:r>
    </w:p>
    <w:p w:rsidR="00904902" w:rsidRPr="00904902" w:rsidRDefault="00904902" w:rsidP="0090490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bookmarkStart w:id="0" w:name="fb_share"/>
      <w:bookmarkStart w:id="1" w:name="_GoBack"/>
      <w:bookmarkEnd w:id="1"/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Si è svolto mercoledì 20 aprile, in videoconferenza, l’incontro tra il Ministero dell’Istruzione e le organizzazioni sindacali rappresentative della dirigenza scolastica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 xml:space="preserve"> per l’informativa sul decreto relativo all’organico dei dirigenti scolastici per </w:t>
      </w:r>
      <w:proofErr w:type="spellStart"/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l’a.s.</w:t>
      </w:r>
      <w:proofErr w:type="spellEnd"/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 xml:space="preserve"> 2022/2023.</w:t>
      </w:r>
    </w:p>
    <w:p w:rsidR="00904902" w:rsidRPr="00904902" w:rsidRDefault="00904902" w:rsidP="0090490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 l’amministrazione era presente il dott. Filippo Serra, direttore generale della Direzione per il Personale Scolastico, che ha illustrato i dati presenti nella tabella allegata alla bozza di decreto, informando che, al momento, sono stati comunicati dagli USR 340 pensionamenti del personale dirigente scolastico.</w:t>
      </w:r>
    </w:p>
    <w:p w:rsidR="00904902" w:rsidRPr="00904902" w:rsidRDefault="00904902" w:rsidP="0090490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 xml:space="preserve">Dal confronto dei dati relativi </w:t>
      </w:r>
      <w:proofErr w:type="spellStart"/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all’a.s.</w:t>
      </w:r>
      <w:proofErr w:type="spellEnd"/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 xml:space="preserve"> 2022/23 con quelli </w:t>
      </w:r>
      <w:proofErr w:type="spellStart"/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dell’a.s.</w:t>
      </w:r>
      <w:proofErr w:type="spellEnd"/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 xml:space="preserve"> in corso, emerge che le 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istituzioni scolastiche funzionanti il prossimo anno saranno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8.007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a fronte delle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8.029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dello scorso anno, con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un decremento di 22 scuole.</w:t>
      </w:r>
    </w:p>
    <w:p w:rsidR="00904902" w:rsidRPr="00904902" w:rsidRDefault="00904902" w:rsidP="0090490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Analizzando nel dettaglio i dati contenuti nella tabella, sono però solo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7517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le istituzioni cosiddette “</w:t>
      </w:r>
      <w:proofErr w:type="spellStart"/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normodimensionate</w:t>
      </w:r>
      <w:proofErr w:type="spellEnd"/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”, cioè quelle a cui possono essere preposti un dirigente scolastico e un DSGA titolari, a fronte delle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7646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dell’anno precedente, con un decremento del numero dei dirigenti scolastici in organico di ben 129 unità.</w:t>
      </w:r>
    </w:p>
    <w:p w:rsidR="00904902" w:rsidRPr="00904902" w:rsidRDefault="00904902" w:rsidP="0090490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Dalla tabella, ancora provvisoria, emerge inoltre che, ai fini della definizione dei posti di dirigenti scolastici in organico,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non sono state considerate le 469 scuole con un numero di alunni tra 500 e 600 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che la legge di bilancio 2022 (legge 30 dicembre 2021, n. 234) ha reso dimensionate per il biennio 2022/2023 e 2023/24, dopo che la precedente legge di bilancio 2021 (legge 30 dicembre 2020, n. 178) ne aveva previsto il dimensionamento per il solo </w:t>
      </w:r>
      <w:proofErr w:type="spellStart"/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a.s.</w:t>
      </w:r>
      <w:proofErr w:type="spellEnd"/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2021/2022. Si legge infatti nelle premesse del decreto che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 queste istituzioni scolastiche non potranno essere assegnati dirigenti scolastici titolari 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perché nella relazione tecnica allegata alla legge di bilancio è indicato che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 xml:space="preserve">da quella disposizione non sarebbe derivato l’incremento delle facoltà </w:t>
      </w:r>
      <w:proofErr w:type="spellStart"/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assunzionali</w:t>
      </w:r>
      <w:proofErr w:type="spellEnd"/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.</w:t>
      </w:r>
    </w:p>
    <w:p w:rsidR="00904902" w:rsidRPr="00904902" w:rsidRDefault="00904902" w:rsidP="0090490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Si ripete dunque lo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stesso copione dello scorso anno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con l’aggravante dei numeri che crescono di anno in anno e che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rischiano di riportare le reggenze a livelli insostenibili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mentre ci sono ancora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501 vincitori nella graduatoria nazionale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del concorso 2017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e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52 in quella del concorso regionale 2011 Campania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che aspettano di essere assunti e ancora non si è trovata una soluzione definitiva al problema dei tantissimi dirigenti scolastici assunti in regione diversa da quella di residenza.</w:t>
      </w:r>
    </w:p>
    <w:p w:rsidR="00904902" w:rsidRPr="00904902" w:rsidRDefault="00904902" w:rsidP="0090490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Nel nostro intervento abbiamo sottolineato le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gravi responsabilità dell’amministrazione 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che, dopo aver dichiarato lo scorso anno l’impossibilità di disattendere le indicazioni presenti nella relazione alla legge di bilancio 2021,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ha consentito che l’emendamento sul dimensionamento scolastico approvato nella legge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di bilancio 2022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venisse vanificato per la seconda volta dalla relazione tecnica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che ne annulla di fatto gli effetti, rendendo inutile lo stanziamento di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più di 123 milioni di euro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che non potranno mai essere utilizzati.</w:t>
      </w:r>
    </w:p>
    <w:p w:rsidR="00904902" w:rsidRPr="00904902" w:rsidRDefault="00904902" w:rsidP="0090490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Abbiamo inoltre espresso il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profondo dissenso della FLC CGIL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sulla ulteriore disposizione, presente nella bozza di decreto, che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estende il contenuto della relazione tecnica anche alla mobilità interregionale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impedendo che 469 istituzioni scolastiche siano utilizzate per la definizione del contingente dei posti per la mobilità interregionale.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Si tratta di ben 281 mobilità negate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visto che per il prossimo triennio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la percentuale dei posti disponibili riguarderà il 60% dei posti vacanti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in ciascuna regione,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come previsto dalla legge 25/2022 di conversione del decreto legge 4/2022.</w:t>
      </w:r>
    </w:p>
    <w:p w:rsidR="00904902" w:rsidRPr="00904902" w:rsidRDefault="00904902" w:rsidP="0090490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lastRenderedPageBreak/>
        <w:t>Per questo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abbiamo formalmente chiesto all’amministrazione di eliminare dalla premessa del decreto il riferimento all’estensione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del contenuto della relazione tecnica alla mobilità interregionale,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 perché non corrisponde ad una indicazione della legge, non determina aumento delle facoltà </w:t>
      </w:r>
      <w:proofErr w:type="spellStart"/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assunzionali</w:t>
      </w:r>
      <w:proofErr w:type="spellEnd"/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e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appare inutilmente punitiva nei confronti delle legittime aspirazioni di tanti dirigenti scolastici a rientrare nelle regioni di provenienza.</w:t>
      </w:r>
    </w:p>
    <w:p w:rsidR="00904902" w:rsidRPr="00904902" w:rsidRDefault="00904902" w:rsidP="0090490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L’amministrazione si è riservata di valutare le richieste formulate nel corso dell’incontro e ha informato i presenti di una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successiva informativa sulla nota ministeriale per l’avvio delle operazioni di mobilità 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e di attribuzione degli incarichi ai dirigenti scolastici per l</w:t>
      </w:r>
      <w:proofErr w:type="gramStart"/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’.s.</w:t>
      </w:r>
      <w:proofErr w:type="gramEnd"/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2022/2023.</w:t>
      </w:r>
    </w:p>
    <w:p w:rsidR="00904902" w:rsidRPr="00904902" w:rsidRDefault="00904902" w:rsidP="0090490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Continueremo a seguire la situazione anche ai tavoli regionali per poter fornire al più presto a tutti gli interessati </w:t>
      </w:r>
      <w:r w:rsidRPr="00904902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dati certi sul numero dei posti disponibili</w:t>
      </w:r>
      <w:r w:rsidRPr="0090490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in ciascuna regione per le operazioni di mobilità e di assunzione.</w:t>
      </w:r>
      <w:bookmarkEnd w:id="0"/>
    </w:p>
    <w:sectPr w:rsidR="00904902" w:rsidRPr="00904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93FA6"/>
    <w:multiLevelType w:val="multilevel"/>
    <w:tmpl w:val="0F58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02"/>
    <w:rsid w:val="00904902"/>
    <w:rsid w:val="00D6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92ADB-E1D8-4622-9477-43425908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96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29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3779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51525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3219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3133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41691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11863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86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2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58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  <w:divsChild>
                <w:div w:id="1434352151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  <w:divsChild>
                <w:div w:id="21524266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4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</w:div>
            <w:div w:id="3594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  <w:divsChild>
                <w:div w:id="136154253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2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2022-04-22T07:29:00Z</dcterms:created>
  <dcterms:modified xsi:type="dcterms:W3CDTF">2022-04-22T07:30:00Z</dcterms:modified>
</cp:coreProperties>
</file>