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80A1C" w14:textId="77777777" w:rsidR="00EA3030" w:rsidRPr="00EA3030" w:rsidRDefault="00EA3030" w:rsidP="00EA3030">
      <w:pPr>
        <w:shd w:val="clear" w:color="auto" w:fill="FFFFFF"/>
        <w:spacing w:after="0" w:line="240" w:lineRule="auto"/>
        <w:outlineLvl w:val="0"/>
        <w:rPr>
          <w:rFonts w:ascii="Helvetica" w:eastAsia="Times New Roman" w:hAnsi="Helvetica" w:cs="Helvetica"/>
          <w:b/>
          <w:bCs/>
          <w:color w:val="000000"/>
          <w:kern w:val="36"/>
          <w:sz w:val="36"/>
          <w:szCs w:val="36"/>
          <w:lang w:eastAsia="it-IT"/>
        </w:rPr>
      </w:pPr>
      <w:r w:rsidRPr="00EA3030">
        <w:rPr>
          <w:rFonts w:ascii="Helvetica" w:eastAsia="Times New Roman" w:hAnsi="Helvetica" w:cs="Helvetica"/>
          <w:b/>
          <w:bCs/>
          <w:color w:val="000000"/>
          <w:kern w:val="36"/>
          <w:sz w:val="36"/>
          <w:szCs w:val="36"/>
          <w:lang w:eastAsia="it-IT"/>
        </w:rPr>
        <w:t xml:space="preserve">Covid-19 e Decreto legge 162/22: forte allentamento delle norme sul regime di </w:t>
      </w:r>
      <w:proofErr w:type="spellStart"/>
      <w:r w:rsidRPr="00EA3030">
        <w:rPr>
          <w:rFonts w:ascii="Helvetica" w:eastAsia="Times New Roman" w:hAnsi="Helvetica" w:cs="Helvetica"/>
          <w:b/>
          <w:bCs/>
          <w:color w:val="000000"/>
          <w:kern w:val="36"/>
          <w:sz w:val="36"/>
          <w:szCs w:val="36"/>
          <w:lang w:eastAsia="it-IT"/>
        </w:rPr>
        <w:t>autosorveglianza</w:t>
      </w:r>
      <w:proofErr w:type="spellEnd"/>
    </w:p>
    <w:p w14:paraId="2DC8C71D" w14:textId="77777777" w:rsidR="00EA3030" w:rsidRPr="00EA3030" w:rsidRDefault="00EA3030" w:rsidP="00EA3030">
      <w:pPr>
        <w:shd w:val="clear" w:color="auto" w:fill="FFFFFF"/>
        <w:spacing w:after="0" w:line="255" w:lineRule="atLeast"/>
        <w:outlineLvl w:val="3"/>
        <w:rPr>
          <w:rFonts w:ascii="Helvetica" w:eastAsia="Times New Roman" w:hAnsi="Helvetica" w:cs="Helvetica"/>
          <w:b/>
          <w:bCs/>
          <w:color w:val="555555"/>
          <w:sz w:val="26"/>
          <w:szCs w:val="26"/>
          <w:lang w:eastAsia="it-IT"/>
        </w:rPr>
      </w:pPr>
      <w:r w:rsidRPr="00EA3030">
        <w:rPr>
          <w:rFonts w:ascii="Helvetica" w:eastAsia="Times New Roman" w:hAnsi="Helvetica" w:cs="Helvetica"/>
          <w:b/>
          <w:bCs/>
          <w:color w:val="555555"/>
          <w:sz w:val="26"/>
          <w:szCs w:val="26"/>
          <w:lang w:eastAsia="it-IT"/>
        </w:rPr>
        <w:t>Sospese le sanzioni amministrative per violazione dell’obbligo vaccinale. Il decreto dovrà essere convertito in legge entro fine mese dalla Camera dei deputati.</w:t>
      </w:r>
    </w:p>
    <w:p w14:paraId="0A8B6F71" w14:textId="77777777" w:rsidR="00EA3030" w:rsidRPr="00EA3030" w:rsidRDefault="00EA3030" w:rsidP="00EA3030">
      <w:pPr>
        <w:shd w:val="clear" w:color="auto" w:fill="FFFFFF"/>
        <w:spacing w:after="0" w:line="240" w:lineRule="auto"/>
        <w:rPr>
          <w:rFonts w:ascii="Helvetica" w:eastAsia="Times New Roman" w:hAnsi="Helvetica" w:cs="Helvetica"/>
          <w:color w:val="000000"/>
          <w:sz w:val="21"/>
          <w:szCs w:val="21"/>
          <w:lang w:eastAsia="it-IT"/>
        </w:rPr>
      </w:pPr>
      <w:r w:rsidRPr="00EA3030">
        <w:rPr>
          <w:rFonts w:ascii="Helvetica" w:eastAsia="Times New Roman" w:hAnsi="Helvetica" w:cs="Helvetica"/>
          <w:b/>
          <w:bCs/>
          <w:color w:val="000000"/>
          <w:sz w:val="21"/>
          <w:szCs w:val="21"/>
          <w:lang w:eastAsia="it-IT"/>
        </w:rPr>
        <w:t>19/12/2022</w:t>
      </w:r>
    </w:p>
    <w:p w14:paraId="223EF59B" w14:textId="77777777" w:rsidR="00EA3030" w:rsidRPr="00EA3030" w:rsidRDefault="00EA3030" w:rsidP="00EA3030">
      <w:pPr>
        <w:shd w:val="clear" w:color="auto" w:fill="FFFFFF"/>
        <w:spacing w:after="0" w:line="240" w:lineRule="auto"/>
        <w:rPr>
          <w:rFonts w:ascii="Helvetica" w:eastAsia="Times New Roman" w:hAnsi="Helvetica" w:cs="Helvetica"/>
          <w:color w:val="000000"/>
          <w:sz w:val="21"/>
          <w:szCs w:val="21"/>
          <w:lang w:eastAsia="it-IT"/>
        </w:rPr>
      </w:pPr>
      <w:r w:rsidRPr="00EA3030">
        <w:rPr>
          <w:rFonts w:ascii="Helvetica" w:eastAsia="Times New Roman" w:hAnsi="Helvetica" w:cs="Helvetica"/>
          <w:noProof/>
          <w:color w:val="000000"/>
          <w:sz w:val="21"/>
          <w:szCs w:val="21"/>
          <w:lang w:eastAsia="it-IT"/>
        </w:rPr>
        <w:drawing>
          <wp:inline distT="0" distB="0" distL="0" distR="0" wp14:anchorId="2DC38CC7" wp14:editId="41FC6B49">
            <wp:extent cx="133350" cy="133350"/>
            <wp:effectExtent l="0" t="0" r="0" b="0"/>
            <wp:docPr id="1" name="minustext" descr="Decrease text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nustext" descr="Decrease text siz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EA3030">
        <w:rPr>
          <w:rFonts w:ascii="Helvetica" w:eastAsia="Times New Roman" w:hAnsi="Helvetica" w:cs="Helvetica"/>
          <w:color w:val="000000"/>
          <w:sz w:val="21"/>
          <w:szCs w:val="21"/>
          <w:lang w:eastAsia="it-IT"/>
        </w:rPr>
        <w:t> </w:t>
      </w:r>
      <w:r w:rsidRPr="00EA3030">
        <w:rPr>
          <w:rFonts w:ascii="Helvetica" w:eastAsia="Times New Roman" w:hAnsi="Helvetica" w:cs="Helvetica"/>
          <w:noProof/>
          <w:color w:val="000000"/>
          <w:sz w:val="21"/>
          <w:szCs w:val="21"/>
          <w:lang w:eastAsia="it-IT"/>
        </w:rPr>
        <w:drawing>
          <wp:inline distT="0" distB="0" distL="0" distR="0" wp14:anchorId="0BACA3D1" wp14:editId="791549A9">
            <wp:extent cx="152400" cy="133350"/>
            <wp:effectExtent l="0" t="0" r="0" b="0"/>
            <wp:docPr id="2" name="plustext" descr="Increase  text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ustext" descr="Increase  text siz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33350"/>
                    </a:xfrm>
                    <a:prstGeom prst="rect">
                      <a:avLst/>
                    </a:prstGeom>
                    <a:noFill/>
                    <a:ln>
                      <a:noFill/>
                    </a:ln>
                  </pic:spPr>
                </pic:pic>
              </a:graphicData>
            </a:graphic>
          </wp:inline>
        </w:drawing>
      </w:r>
    </w:p>
    <w:p w14:paraId="6460ED95" w14:textId="77777777" w:rsidR="00EA3030" w:rsidRPr="00EA3030" w:rsidRDefault="00EA3030" w:rsidP="00EA3030">
      <w:pPr>
        <w:shd w:val="clear" w:color="auto" w:fill="FFFFFF"/>
        <w:spacing w:before="100" w:beforeAutospacing="1" w:after="100" w:afterAutospacing="1" w:line="270" w:lineRule="atLeast"/>
        <w:rPr>
          <w:rFonts w:ascii="Helvetica" w:eastAsia="Times New Roman" w:hAnsi="Helvetica" w:cs="Helvetica"/>
          <w:color w:val="000000"/>
          <w:sz w:val="21"/>
          <w:szCs w:val="21"/>
          <w:lang w:eastAsia="it-IT"/>
        </w:rPr>
      </w:pPr>
      <w:r w:rsidRPr="00EA3030">
        <w:rPr>
          <w:rFonts w:ascii="Helvetica" w:eastAsia="Times New Roman" w:hAnsi="Helvetica" w:cs="Helvetica"/>
          <w:color w:val="000000"/>
          <w:sz w:val="21"/>
          <w:szCs w:val="21"/>
          <w:lang w:eastAsia="it-IT"/>
        </w:rPr>
        <w:t>È stato </w:t>
      </w:r>
      <w:r w:rsidRPr="00EA3030">
        <w:rPr>
          <w:rFonts w:ascii="Helvetica" w:eastAsia="Times New Roman" w:hAnsi="Helvetica" w:cs="Helvetica"/>
          <w:b/>
          <w:bCs/>
          <w:color w:val="000000"/>
          <w:sz w:val="21"/>
          <w:szCs w:val="21"/>
          <w:lang w:eastAsia="it-IT"/>
        </w:rPr>
        <w:t>approvato dal Senato il disegno di legge di conversione del</w:t>
      </w:r>
      <w:r w:rsidRPr="00EA3030">
        <w:rPr>
          <w:rFonts w:ascii="Helvetica" w:eastAsia="Times New Roman" w:hAnsi="Helvetica" w:cs="Helvetica"/>
          <w:color w:val="000000"/>
          <w:sz w:val="21"/>
          <w:szCs w:val="21"/>
          <w:lang w:eastAsia="it-IT"/>
        </w:rPr>
        <w:t> </w:t>
      </w:r>
      <w:hyperlink r:id="rId7" w:tgtFrame="_blank" w:history="1">
        <w:r w:rsidRPr="00EA3030">
          <w:rPr>
            <w:rFonts w:ascii="Helvetica" w:eastAsia="Times New Roman" w:hAnsi="Helvetica" w:cs="Helvetica"/>
            <w:color w:val="0088CC"/>
            <w:sz w:val="21"/>
            <w:szCs w:val="21"/>
            <w:lang w:eastAsia="it-IT"/>
          </w:rPr>
          <w:t>decreto legge 31 ottobre 2022 n. 162</w:t>
        </w:r>
      </w:hyperlink>
      <w:r w:rsidRPr="00EA3030">
        <w:rPr>
          <w:rFonts w:ascii="Helvetica" w:eastAsia="Times New Roman" w:hAnsi="Helvetica" w:cs="Helvetica"/>
          <w:color w:val="000000"/>
          <w:sz w:val="21"/>
          <w:szCs w:val="21"/>
          <w:lang w:eastAsia="it-IT"/>
        </w:rPr>
        <w:t> “</w:t>
      </w:r>
      <w:r w:rsidRPr="00EA3030">
        <w:rPr>
          <w:rFonts w:ascii="Helvetica" w:eastAsia="Times New Roman" w:hAnsi="Helvetica" w:cs="Helvetica"/>
          <w:i/>
          <w:iCs/>
          <w:color w:val="000000"/>
          <w:sz w:val="21"/>
          <w:szCs w:val="21"/>
          <w:lang w:eastAsia="it-IT"/>
        </w:rPr>
        <w:t>Misure urgenti in materia di benefici penitenziari per i condannati per i reati ostativi, di contrasto ai raduni illegali, di applicazione della riforma del processo penale, di giustizia sportiva, di obblighi di vaccinazione anti COVID-19 e in materia sanitaria</w:t>
      </w:r>
      <w:r w:rsidRPr="00EA3030">
        <w:rPr>
          <w:rFonts w:ascii="Helvetica" w:eastAsia="Times New Roman" w:hAnsi="Helvetica" w:cs="Helvetica"/>
          <w:color w:val="000000"/>
          <w:sz w:val="21"/>
          <w:szCs w:val="21"/>
          <w:lang w:eastAsia="it-IT"/>
        </w:rPr>
        <w:t>”. Il provvedimento è stato </w:t>
      </w:r>
      <w:r w:rsidRPr="00EA3030">
        <w:rPr>
          <w:rFonts w:ascii="Helvetica" w:eastAsia="Times New Roman" w:hAnsi="Helvetica" w:cs="Helvetica"/>
          <w:b/>
          <w:bCs/>
          <w:color w:val="000000"/>
          <w:sz w:val="21"/>
          <w:szCs w:val="21"/>
          <w:lang w:eastAsia="it-IT"/>
        </w:rPr>
        <w:t>trasmesso alla Camera dei deputati</w:t>
      </w:r>
      <w:r w:rsidRPr="00EA3030">
        <w:rPr>
          <w:rFonts w:ascii="Helvetica" w:eastAsia="Times New Roman" w:hAnsi="Helvetica" w:cs="Helvetica"/>
          <w:color w:val="000000"/>
          <w:sz w:val="21"/>
          <w:szCs w:val="21"/>
          <w:lang w:eastAsia="it-IT"/>
        </w:rPr>
        <w:t> che dovrà approvarlo entro la fine del mese di dicembre 2022.</w:t>
      </w:r>
    </w:p>
    <w:p w14:paraId="758768C2" w14:textId="77777777" w:rsidR="00EA3030" w:rsidRPr="00EA3030" w:rsidRDefault="00EA3030" w:rsidP="00EA3030">
      <w:pPr>
        <w:shd w:val="clear" w:color="auto" w:fill="FFFFFF"/>
        <w:spacing w:before="100" w:beforeAutospacing="1" w:after="100" w:afterAutospacing="1" w:line="270" w:lineRule="atLeast"/>
        <w:rPr>
          <w:rFonts w:ascii="Helvetica" w:eastAsia="Times New Roman" w:hAnsi="Helvetica" w:cs="Helvetica"/>
          <w:color w:val="000000"/>
          <w:sz w:val="21"/>
          <w:szCs w:val="21"/>
          <w:lang w:eastAsia="it-IT"/>
        </w:rPr>
      </w:pPr>
      <w:r w:rsidRPr="00EA3030">
        <w:rPr>
          <w:rFonts w:ascii="Helvetica" w:eastAsia="Times New Roman" w:hAnsi="Helvetica" w:cs="Helvetica"/>
          <w:color w:val="000000"/>
          <w:sz w:val="21"/>
          <w:szCs w:val="21"/>
          <w:lang w:eastAsia="it-IT"/>
        </w:rPr>
        <w:t>Durante la discussione sono state </w:t>
      </w:r>
      <w:r w:rsidRPr="00EA3030">
        <w:rPr>
          <w:rFonts w:ascii="Helvetica" w:eastAsia="Times New Roman" w:hAnsi="Helvetica" w:cs="Helvetica"/>
          <w:b/>
          <w:bCs/>
          <w:color w:val="000000"/>
          <w:sz w:val="21"/>
          <w:szCs w:val="21"/>
          <w:lang w:eastAsia="it-IT"/>
        </w:rPr>
        <w:t>apportate numerose modifiche</w:t>
      </w:r>
      <w:r w:rsidRPr="00EA3030">
        <w:rPr>
          <w:rFonts w:ascii="Helvetica" w:eastAsia="Times New Roman" w:hAnsi="Helvetica" w:cs="Helvetica"/>
          <w:color w:val="000000"/>
          <w:sz w:val="21"/>
          <w:szCs w:val="21"/>
          <w:lang w:eastAsia="it-IT"/>
        </w:rPr>
        <w:t> al testo con specifico riferimento alla pandemia da Covid-19. Di seguito la </w:t>
      </w:r>
      <w:r w:rsidRPr="00EA3030">
        <w:rPr>
          <w:rFonts w:ascii="Helvetica" w:eastAsia="Times New Roman" w:hAnsi="Helvetica" w:cs="Helvetica"/>
          <w:b/>
          <w:bCs/>
          <w:color w:val="000000"/>
          <w:sz w:val="21"/>
          <w:szCs w:val="21"/>
          <w:lang w:eastAsia="it-IT"/>
        </w:rPr>
        <w:t>sintesi</w:t>
      </w:r>
      <w:r w:rsidRPr="00EA3030">
        <w:rPr>
          <w:rFonts w:ascii="Helvetica" w:eastAsia="Times New Roman" w:hAnsi="Helvetica" w:cs="Helvetica"/>
          <w:color w:val="000000"/>
          <w:sz w:val="21"/>
          <w:szCs w:val="21"/>
          <w:lang w:eastAsia="it-IT"/>
        </w:rPr>
        <w:t> delle norme presenti nel testo su questo specifico argomento, con l’avvertenza che molte di esse </w:t>
      </w:r>
      <w:r w:rsidRPr="00EA3030">
        <w:rPr>
          <w:rFonts w:ascii="Helvetica" w:eastAsia="Times New Roman" w:hAnsi="Helvetica" w:cs="Helvetica"/>
          <w:b/>
          <w:bCs/>
          <w:color w:val="000000"/>
          <w:sz w:val="21"/>
          <w:szCs w:val="21"/>
          <w:lang w:eastAsia="it-IT"/>
        </w:rPr>
        <w:t>entreranno effettivamente in vigore solo dopo la pubblicazione in Gazzetta Ufficiale della legge di conversione</w:t>
      </w:r>
      <w:r w:rsidRPr="00EA3030">
        <w:rPr>
          <w:rFonts w:ascii="Helvetica" w:eastAsia="Times New Roman" w:hAnsi="Helvetica" w:cs="Helvetica"/>
          <w:color w:val="000000"/>
          <w:sz w:val="21"/>
          <w:szCs w:val="21"/>
          <w:lang w:eastAsia="it-IT"/>
        </w:rPr>
        <w:t> del decreto legge.</w:t>
      </w:r>
    </w:p>
    <w:p w14:paraId="66CACF70" w14:textId="77777777" w:rsidR="00EA3030" w:rsidRPr="00EA3030" w:rsidRDefault="00EA3030" w:rsidP="00EA3030">
      <w:pPr>
        <w:shd w:val="clear" w:color="auto" w:fill="FFFFFF"/>
        <w:spacing w:before="100" w:beforeAutospacing="1" w:after="100" w:afterAutospacing="1" w:line="270" w:lineRule="atLeast"/>
        <w:rPr>
          <w:rFonts w:ascii="Helvetica" w:eastAsia="Times New Roman" w:hAnsi="Helvetica" w:cs="Helvetica"/>
          <w:color w:val="000000"/>
          <w:sz w:val="21"/>
          <w:szCs w:val="21"/>
          <w:lang w:eastAsia="it-IT"/>
        </w:rPr>
      </w:pPr>
      <w:hyperlink r:id="rId8" w:tgtFrame="_blank" w:history="1">
        <w:r w:rsidRPr="00EA3030">
          <w:rPr>
            <w:rFonts w:ascii="Helvetica" w:eastAsia="Times New Roman" w:hAnsi="Helvetica" w:cs="Helvetica"/>
            <w:b/>
            <w:bCs/>
            <w:color w:val="0088CC"/>
            <w:sz w:val="21"/>
            <w:szCs w:val="21"/>
            <w:lang w:eastAsia="it-IT"/>
          </w:rPr>
          <w:t>Emergenza Coronavirus COVID-19: notizie e provvedimenti</w:t>
        </w:r>
      </w:hyperlink>
    </w:p>
    <w:p w14:paraId="0D84EA5C" w14:textId="77777777" w:rsidR="00EA3030" w:rsidRPr="00EA3030" w:rsidRDefault="00EA3030" w:rsidP="00EA3030">
      <w:pPr>
        <w:shd w:val="clear" w:color="auto" w:fill="FFFFFF"/>
        <w:spacing w:before="100" w:beforeAutospacing="1" w:after="100" w:afterAutospacing="1" w:line="270" w:lineRule="atLeast"/>
        <w:rPr>
          <w:rFonts w:ascii="Helvetica" w:eastAsia="Times New Roman" w:hAnsi="Helvetica" w:cs="Helvetica"/>
          <w:color w:val="000000"/>
          <w:sz w:val="21"/>
          <w:szCs w:val="21"/>
          <w:lang w:eastAsia="it-IT"/>
        </w:rPr>
      </w:pPr>
      <w:proofErr w:type="spellStart"/>
      <w:r w:rsidRPr="00EA3030">
        <w:rPr>
          <w:rFonts w:ascii="Helvetica" w:eastAsia="Times New Roman" w:hAnsi="Helvetica" w:cs="Helvetica"/>
          <w:i/>
          <w:iCs/>
          <w:color w:val="000000"/>
          <w:sz w:val="21"/>
          <w:szCs w:val="21"/>
          <w:lang w:eastAsia="it-IT"/>
        </w:rPr>
        <w:t>Autosorveglianza</w:t>
      </w:r>
      <w:proofErr w:type="spellEnd"/>
    </w:p>
    <w:p w14:paraId="3F1F89C3" w14:textId="77777777" w:rsidR="00EA3030" w:rsidRPr="00EA3030" w:rsidRDefault="00EA3030" w:rsidP="00EA3030">
      <w:pPr>
        <w:shd w:val="clear" w:color="auto" w:fill="FFFFFF"/>
        <w:spacing w:before="100" w:beforeAutospacing="1" w:after="100" w:afterAutospacing="1" w:line="270" w:lineRule="atLeast"/>
        <w:rPr>
          <w:rFonts w:ascii="Helvetica" w:eastAsia="Times New Roman" w:hAnsi="Helvetica" w:cs="Helvetica"/>
          <w:color w:val="000000"/>
          <w:sz w:val="21"/>
          <w:szCs w:val="21"/>
          <w:lang w:eastAsia="it-IT"/>
        </w:rPr>
      </w:pPr>
      <w:r w:rsidRPr="00EA3030">
        <w:rPr>
          <w:rFonts w:ascii="Helvetica" w:eastAsia="Times New Roman" w:hAnsi="Helvetica" w:cs="Helvetica"/>
          <w:b/>
          <w:bCs/>
          <w:color w:val="000000"/>
          <w:sz w:val="21"/>
          <w:szCs w:val="21"/>
          <w:lang w:eastAsia="it-IT"/>
        </w:rPr>
        <w:t xml:space="preserve">Ridotto da 10 a 5 giorni il regime di </w:t>
      </w:r>
      <w:proofErr w:type="spellStart"/>
      <w:r w:rsidRPr="00EA3030">
        <w:rPr>
          <w:rFonts w:ascii="Helvetica" w:eastAsia="Times New Roman" w:hAnsi="Helvetica" w:cs="Helvetica"/>
          <w:b/>
          <w:bCs/>
          <w:color w:val="000000"/>
          <w:sz w:val="21"/>
          <w:szCs w:val="21"/>
          <w:lang w:eastAsia="it-IT"/>
        </w:rPr>
        <w:t>autosorveglianza</w:t>
      </w:r>
      <w:proofErr w:type="spellEnd"/>
      <w:r w:rsidRPr="00EA3030">
        <w:rPr>
          <w:rFonts w:ascii="Helvetica" w:eastAsia="Times New Roman" w:hAnsi="Helvetica" w:cs="Helvetica"/>
          <w:b/>
          <w:bCs/>
          <w:color w:val="000000"/>
          <w:sz w:val="21"/>
          <w:szCs w:val="21"/>
          <w:lang w:eastAsia="it-IT"/>
        </w:rPr>
        <w:t> </w:t>
      </w:r>
      <w:r w:rsidRPr="00EA3030">
        <w:rPr>
          <w:rFonts w:ascii="Helvetica" w:eastAsia="Times New Roman" w:hAnsi="Helvetica" w:cs="Helvetica"/>
          <w:color w:val="000000"/>
          <w:sz w:val="21"/>
          <w:szCs w:val="21"/>
          <w:lang w:eastAsia="it-IT"/>
        </w:rPr>
        <w:t>per coloro che hanno avuto</w:t>
      </w:r>
      <w:r w:rsidRPr="00EA3030">
        <w:rPr>
          <w:rFonts w:ascii="Helvetica" w:eastAsia="Times New Roman" w:hAnsi="Helvetica" w:cs="Helvetica"/>
          <w:b/>
          <w:bCs/>
          <w:color w:val="000000"/>
          <w:sz w:val="21"/>
          <w:szCs w:val="21"/>
          <w:lang w:eastAsia="it-IT"/>
        </w:rPr>
        <w:t> contatti stretti con soggetti confermati positivi al SARS-CoV-2.</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22"/>
      </w:tblGrid>
      <w:tr w:rsidR="00EA3030" w:rsidRPr="00EA3030" w14:paraId="5D04FC1E" w14:textId="77777777" w:rsidTr="00EA3030">
        <w:trPr>
          <w:tblCellSpacing w:w="0" w:type="dxa"/>
        </w:trPr>
        <w:tc>
          <w:tcPr>
            <w:tcW w:w="9630" w:type="dxa"/>
            <w:tcBorders>
              <w:top w:val="outset" w:sz="6" w:space="0" w:color="auto"/>
              <w:left w:val="outset" w:sz="6" w:space="0" w:color="auto"/>
              <w:bottom w:val="outset" w:sz="6" w:space="0" w:color="auto"/>
              <w:right w:val="outset" w:sz="6" w:space="0" w:color="auto"/>
            </w:tcBorders>
            <w:vAlign w:val="center"/>
            <w:hideMark/>
          </w:tcPr>
          <w:p w14:paraId="37F4DC7A" w14:textId="77777777" w:rsidR="00EA3030" w:rsidRPr="00EA3030" w:rsidRDefault="00EA3030" w:rsidP="00EA3030">
            <w:pPr>
              <w:spacing w:before="100" w:beforeAutospacing="1" w:after="100" w:afterAutospacing="1" w:line="270" w:lineRule="atLeast"/>
              <w:rPr>
                <w:rFonts w:ascii="Times New Roman" w:eastAsia="Times New Roman" w:hAnsi="Times New Roman" w:cs="Times New Roman"/>
                <w:sz w:val="21"/>
                <w:szCs w:val="21"/>
                <w:lang w:eastAsia="it-IT"/>
              </w:rPr>
            </w:pPr>
            <w:r w:rsidRPr="00EA3030">
              <w:rPr>
                <w:rFonts w:ascii="Times New Roman" w:eastAsia="Times New Roman" w:hAnsi="Times New Roman" w:cs="Times New Roman"/>
                <w:sz w:val="21"/>
                <w:szCs w:val="21"/>
                <w:lang w:eastAsia="it-IT"/>
              </w:rPr>
              <w:t>Approfondimento</w:t>
            </w:r>
          </w:p>
          <w:p w14:paraId="47BAF79B" w14:textId="77777777" w:rsidR="00EA3030" w:rsidRPr="00EA3030" w:rsidRDefault="00EA3030" w:rsidP="00EA3030">
            <w:pPr>
              <w:spacing w:before="100" w:beforeAutospacing="1" w:after="100" w:afterAutospacing="1" w:line="270" w:lineRule="atLeast"/>
              <w:rPr>
                <w:rFonts w:ascii="Times New Roman" w:eastAsia="Times New Roman" w:hAnsi="Times New Roman" w:cs="Times New Roman"/>
                <w:sz w:val="21"/>
                <w:szCs w:val="21"/>
                <w:lang w:eastAsia="it-IT"/>
              </w:rPr>
            </w:pPr>
            <w:r w:rsidRPr="00EA3030">
              <w:rPr>
                <w:rFonts w:ascii="Times New Roman" w:eastAsia="Times New Roman" w:hAnsi="Times New Roman" w:cs="Times New Roman"/>
                <w:i/>
                <w:iCs/>
                <w:sz w:val="21"/>
                <w:szCs w:val="21"/>
                <w:lang w:eastAsia="it-IT"/>
              </w:rPr>
              <w:t>Il “</w:t>
            </w:r>
            <w:r w:rsidRPr="00EA3030">
              <w:rPr>
                <w:rFonts w:ascii="Times New Roman" w:eastAsia="Times New Roman" w:hAnsi="Times New Roman" w:cs="Times New Roman"/>
                <w:b/>
                <w:bCs/>
                <w:i/>
                <w:iCs/>
                <w:sz w:val="21"/>
                <w:szCs w:val="21"/>
                <w:lang w:eastAsia="it-IT"/>
              </w:rPr>
              <w:t>contatto stretto</w:t>
            </w:r>
            <w:r w:rsidRPr="00EA3030">
              <w:rPr>
                <w:rFonts w:ascii="Times New Roman" w:eastAsia="Times New Roman" w:hAnsi="Times New Roman" w:cs="Times New Roman"/>
                <w:i/>
                <w:iCs/>
                <w:sz w:val="21"/>
                <w:szCs w:val="21"/>
                <w:lang w:eastAsia="it-IT"/>
              </w:rPr>
              <w:t>” (esposizione ad alto rischio) di un caso probabile o confermato è definito dal Ministero della salute come una persona che</w:t>
            </w:r>
          </w:p>
          <w:p w14:paraId="6AB9D37E" w14:textId="77777777" w:rsidR="00EA3030" w:rsidRPr="00EA3030" w:rsidRDefault="00EA3030" w:rsidP="00EA3030">
            <w:pPr>
              <w:numPr>
                <w:ilvl w:val="0"/>
                <w:numId w:val="1"/>
              </w:numPr>
              <w:spacing w:after="0" w:line="240" w:lineRule="auto"/>
              <w:rPr>
                <w:rFonts w:ascii="Times New Roman" w:eastAsia="Times New Roman" w:hAnsi="Times New Roman" w:cs="Times New Roman"/>
                <w:sz w:val="24"/>
                <w:szCs w:val="24"/>
                <w:lang w:eastAsia="it-IT"/>
              </w:rPr>
            </w:pPr>
            <w:r w:rsidRPr="00EA3030">
              <w:rPr>
                <w:rFonts w:ascii="Times New Roman" w:eastAsia="Times New Roman" w:hAnsi="Times New Roman" w:cs="Times New Roman"/>
                <w:i/>
                <w:iCs/>
                <w:sz w:val="24"/>
                <w:szCs w:val="24"/>
                <w:lang w:eastAsia="it-IT"/>
              </w:rPr>
              <w:t>vive nella stessa casa di un caso COVID-19;</w:t>
            </w:r>
          </w:p>
          <w:p w14:paraId="75F36EF9" w14:textId="77777777" w:rsidR="00EA3030" w:rsidRPr="00EA3030" w:rsidRDefault="00EA3030" w:rsidP="00EA3030">
            <w:pPr>
              <w:numPr>
                <w:ilvl w:val="0"/>
                <w:numId w:val="1"/>
              </w:numPr>
              <w:spacing w:after="0" w:line="240" w:lineRule="auto"/>
              <w:rPr>
                <w:rFonts w:ascii="Times New Roman" w:eastAsia="Times New Roman" w:hAnsi="Times New Roman" w:cs="Times New Roman"/>
                <w:sz w:val="24"/>
                <w:szCs w:val="24"/>
                <w:lang w:eastAsia="it-IT"/>
              </w:rPr>
            </w:pPr>
            <w:r w:rsidRPr="00EA3030">
              <w:rPr>
                <w:rFonts w:ascii="Times New Roman" w:eastAsia="Times New Roman" w:hAnsi="Times New Roman" w:cs="Times New Roman"/>
                <w:i/>
                <w:iCs/>
                <w:sz w:val="24"/>
                <w:szCs w:val="24"/>
                <w:lang w:eastAsia="it-IT"/>
              </w:rPr>
              <w:t>ha avuto un contatto fisico diretto con un caso COVID-19;</w:t>
            </w:r>
          </w:p>
          <w:p w14:paraId="16F53D5F" w14:textId="77777777" w:rsidR="00EA3030" w:rsidRPr="00EA3030" w:rsidRDefault="00EA3030" w:rsidP="00EA3030">
            <w:pPr>
              <w:numPr>
                <w:ilvl w:val="0"/>
                <w:numId w:val="1"/>
              </w:numPr>
              <w:spacing w:after="0" w:line="240" w:lineRule="auto"/>
              <w:rPr>
                <w:rFonts w:ascii="Times New Roman" w:eastAsia="Times New Roman" w:hAnsi="Times New Roman" w:cs="Times New Roman"/>
                <w:sz w:val="24"/>
                <w:szCs w:val="24"/>
                <w:lang w:eastAsia="it-IT"/>
              </w:rPr>
            </w:pPr>
            <w:r w:rsidRPr="00EA3030">
              <w:rPr>
                <w:rFonts w:ascii="Times New Roman" w:eastAsia="Times New Roman" w:hAnsi="Times New Roman" w:cs="Times New Roman"/>
                <w:i/>
                <w:iCs/>
                <w:sz w:val="24"/>
                <w:szCs w:val="24"/>
                <w:lang w:eastAsia="it-IT"/>
              </w:rPr>
              <w:t>ha avuto un contatto diretto non protetto con le secrezioni di un caso COVID-19;</w:t>
            </w:r>
          </w:p>
          <w:p w14:paraId="5940232D" w14:textId="77777777" w:rsidR="00EA3030" w:rsidRPr="00EA3030" w:rsidRDefault="00EA3030" w:rsidP="00EA3030">
            <w:pPr>
              <w:numPr>
                <w:ilvl w:val="0"/>
                <w:numId w:val="1"/>
              </w:numPr>
              <w:spacing w:after="0" w:line="240" w:lineRule="auto"/>
              <w:rPr>
                <w:rFonts w:ascii="Times New Roman" w:eastAsia="Times New Roman" w:hAnsi="Times New Roman" w:cs="Times New Roman"/>
                <w:sz w:val="24"/>
                <w:szCs w:val="24"/>
                <w:lang w:eastAsia="it-IT"/>
              </w:rPr>
            </w:pPr>
            <w:r w:rsidRPr="00EA3030">
              <w:rPr>
                <w:rFonts w:ascii="Times New Roman" w:eastAsia="Times New Roman" w:hAnsi="Times New Roman" w:cs="Times New Roman"/>
                <w:i/>
                <w:iCs/>
                <w:sz w:val="24"/>
                <w:szCs w:val="24"/>
                <w:lang w:eastAsia="it-IT"/>
              </w:rPr>
              <w:t>ha avuto un contatto diretto (faccia a faccia) con un caso COVID-19, a distanza minore di 2 metri e di almeno 15 minuti;</w:t>
            </w:r>
          </w:p>
          <w:p w14:paraId="0C9261FF" w14:textId="77777777" w:rsidR="00EA3030" w:rsidRPr="00EA3030" w:rsidRDefault="00EA3030" w:rsidP="00EA3030">
            <w:pPr>
              <w:numPr>
                <w:ilvl w:val="0"/>
                <w:numId w:val="1"/>
              </w:numPr>
              <w:spacing w:after="0" w:line="240" w:lineRule="auto"/>
              <w:rPr>
                <w:rFonts w:ascii="Times New Roman" w:eastAsia="Times New Roman" w:hAnsi="Times New Roman" w:cs="Times New Roman"/>
                <w:sz w:val="24"/>
                <w:szCs w:val="24"/>
                <w:lang w:eastAsia="it-IT"/>
              </w:rPr>
            </w:pPr>
            <w:r w:rsidRPr="00EA3030">
              <w:rPr>
                <w:rFonts w:ascii="Times New Roman" w:eastAsia="Times New Roman" w:hAnsi="Times New Roman" w:cs="Times New Roman"/>
                <w:i/>
                <w:iCs/>
                <w:sz w:val="24"/>
                <w:szCs w:val="24"/>
                <w:lang w:eastAsia="it-IT"/>
              </w:rPr>
              <w:t>si è trovata in un ambiente chiuso (ad esempio aula, sala riunioni, sala d'attesa dell'ospedale) con un caso COVID-19 in assenza di DPI idonei;</w:t>
            </w:r>
          </w:p>
          <w:p w14:paraId="66C635A6" w14:textId="77777777" w:rsidR="00EA3030" w:rsidRPr="00EA3030" w:rsidRDefault="00EA3030" w:rsidP="00EA3030">
            <w:pPr>
              <w:numPr>
                <w:ilvl w:val="0"/>
                <w:numId w:val="1"/>
              </w:numPr>
              <w:spacing w:after="0" w:line="240" w:lineRule="auto"/>
              <w:rPr>
                <w:rFonts w:ascii="Times New Roman" w:eastAsia="Times New Roman" w:hAnsi="Times New Roman" w:cs="Times New Roman"/>
                <w:sz w:val="24"/>
                <w:szCs w:val="24"/>
                <w:lang w:eastAsia="it-IT"/>
              </w:rPr>
            </w:pPr>
            <w:r w:rsidRPr="00EA3030">
              <w:rPr>
                <w:rFonts w:ascii="Times New Roman" w:eastAsia="Times New Roman" w:hAnsi="Times New Roman" w:cs="Times New Roman"/>
                <w:i/>
                <w:iCs/>
                <w:sz w:val="24"/>
                <w:szCs w:val="24"/>
                <w:lang w:eastAsia="it-IT"/>
              </w:rPr>
              <w:t>ha viaggiato seduta in treno, aereo o qualsiasi altro mezzo di trasporto entro due posti in qualsiasi direzione rispetto a un caso COVID-19 (sono contatti stretti anche i compagni di viaggio e il personale addetto alla sezione dell’aereo/treno dove il caso indice era seduto).</w:t>
            </w:r>
          </w:p>
        </w:tc>
      </w:tr>
    </w:tbl>
    <w:p w14:paraId="2348EA6F" w14:textId="77777777" w:rsidR="00EA3030" w:rsidRPr="00EA3030" w:rsidRDefault="00EA3030" w:rsidP="00EA3030">
      <w:pPr>
        <w:shd w:val="clear" w:color="auto" w:fill="FFFFFF"/>
        <w:spacing w:before="100" w:beforeAutospacing="1" w:after="100" w:afterAutospacing="1" w:line="270" w:lineRule="atLeast"/>
        <w:rPr>
          <w:rFonts w:ascii="Helvetica" w:eastAsia="Times New Roman" w:hAnsi="Helvetica" w:cs="Helvetica"/>
          <w:color w:val="000000"/>
          <w:sz w:val="21"/>
          <w:szCs w:val="21"/>
          <w:lang w:eastAsia="it-IT"/>
        </w:rPr>
      </w:pPr>
      <w:r w:rsidRPr="00EA3030">
        <w:rPr>
          <w:rFonts w:ascii="Helvetica" w:eastAsia="Times New Roman" w:hAnsi="Helvetica" w:cs="Helvetica"/>
          <w:i/>
          <w:iCs/>
          <w:color w:val="000000"/>
          <w:sz w:val="21"/>
          <w:szCs w:val="21"/>
          <w:lang w:eastAsia="it-IT"/>
        </w:rPr>
        <w:t>Regime di isolamento</w:t>
      </w:r>
    </w:p>
    <w:p w14:paraId="3F566E81" w14:textId="77777777" w:rsidR="00EA3030" w:rsidRPr="00EA3030" w:rsidRDefault="00EA3030" w:rsidP="00EA3030">
      <w:pPr>
        <w:shd w:val="clear" w:color="auto" w:fill="FFFFFF"/>
        <w:spacing w:before="100" w:beforeAutospacing="1" w:after="100" w:afterAutospacing="1" w:line="270" w:lineRule="atLeast"/>
        <w:rPr>
          <w:rFonts w:ascii="Helvetica" w:eastAsia="Times New Roman" w:hAnsi="Helvetica" w:cs="Helvetica"/>
          <w:color w:val="000000"/>
          <w:sz w:val="21"/>
          <w:szCs w:val="21"/>
          <w:lang w:eastAsia="it-IT"/>
        </w:rPr>
      </w:pPr>
      <w:r w:rsidRPr="00EA3030">
        <w:rPr>
          <w:rFonts w:ascii="Helvetica" w:eastAsia="Times New Roman" w:hAnsi="Helvetica" w:cs="Helvetica"/>
          <w:b/>
          <w:bCs/>
          <w:color w:val="000000"/>
          <w:sz w:val="21"/>
          <w:szCs w:val="21"/>
          <w:lang w:eastAsia="it-IT"/>
        </w:rPr>
        <w:t>Tutta la materia del regime di isolamento sarà definita dal Ministero della Salute</w:t>
      </w:r>
      <w:r w:rsidRPr="00EA3030">
        <w:rPr>
          <w:rFonts w:ascii="Helvetica" w:eastAsia="Times New Roman" w:hAnsi="Helvetica" w:cs="Helvetica"/>
          <w:color w:val="000000"/>
          <w:sz w:val="21"/>
          <w:szCs w:val="21"/>
          <w:lang w:eastAsia="it-IT"/>
        </w:rPr>
        <w:t>. Infatti sono state </w:t>
      </w:r>
      <w:r w:rsidRPr="00EA3030">
        <w:rPr>
          <w:rFonts w:ascii="Helvetica" w:eastAsia="Times New Roman" w:hAnsi="Helvetica" w:cs="Helvetica"/>
          <w:b/>
          <w:bCs/>
          <w:color w:val="000000"/>
          <w:sz w:val="21"/>
          <w:szCs w:val="21"/>
          <w:lang w:eastAsia="it-IT"/>
        </w:rPr>
        <w:t>confermate le norme che stabiliscono che con circolare del Ministero della salute siano definite le modalità attuative della misura dell'isolamento</w:t>
      </w:r>
      <w:r w:rsidRPr="00EA3030">
        <w:rPr>
          <w:rFonts w:ascii="Helvetica" w:eastAsia="Times New Roman" w:hAnsi="Helvetica" w:cs="Helvetica"/>
          <w:color w:val="000000"/>
          <w:sz w:val="21"/>
          <w:szCs w:val="21"/>
          <w:lang w:eastAsia="it-IT"/>
        </w:rPr>
        <w:t> per provvedimento dell'autorità sanitaria in quanto risultate positive al SARS-CoV-2, fino all'accertamento della guarigione, salvo che per il ricovero in una struttura sanitaria o altra struttura destinata a tale scopo.</w:t>
      </w:r>
    </w:p>
    <w:p w14:paraId="71DA1DF5" w14:textId="77777777" w:rsidR="00EA3030" w:rsidRPr="00EA3030" w:rsidRDefault="00EA3030" w:rsidP="00EA3030">
      <w:pPr>
        <w:shd w:val="clear" w:color="auto" w:fill="FFFFFF"/>
        <w:spacing w:before="100" w:beforeAutospacing="1" w:after="100" w:afterAutospacing="1" w:line="270" w:lineRule="atLeast"/>
        <w:rPr>
          <w:rFonts w:ascii="Helvetica" w:eastAsia="Times New Roman" w:hAnsi="Helvetica" w:cs="Helvetica"/>
          <w:color w:val="000000"/>
          <w:sz w:val="21"/>
          <w:szCs w:val="21"/>
          <w:lang w:eastAsia="it-IT"/>
        </w:rPr>
      </w:pPr>
      <w:r w:rsidRPr="00EA3030">
        <w:rPr>
          <w:rFonts w:ascii="Helvetica" w:eastAsia="Times New Roman" w:hAnsi="Helvetica" w:cs="Helvetica"/>
          <w:b/>
          <w:bCs/>
          <w:color w:val="000000"/>
          <w:sz w:val="21"/>
          <w:szCs w:val="21"/>
          <w:lang w:eastAsia="it-IT"/>
        </w:rPr>
        <w:lastRenderedPageBreak/>
        <w:t>Pertanto</w:t>
      </w:r>
    </w:p>
    <w:p w14:paraId="57BC2AB3" w14:textId="77777777" w:rsidR="00EA3030" w:rsidRPr="00EA3030" w:rsidRDefault="00EA3030" w:rsidP="00EA3030">
      <w:pPr>
        <w:numPr>
          <w:ilvl w:val="0"/>
          <w:numId w:val="2"/>
        </w:numPr>
        <w:shd w:val="clear" w:color="auto" w:fill="FFFFFF"/>
        <w:spacing w:after="0" w:line="240" w:lineRule="auto"/>
        <w:rPr>
          <w:rFonts w:ascii="Helvetica" w:eastAsia="Times New Roman" w:hAnsi="Helvetica" w:cs="Helvetica"/>
          <w:color w:val="000000"/>
          <w:sz w:val="21"/>
          <w:szCs w:val="21"/>
          <w:lang w:eastAsia="it-IT"/>
        </w:rPr>
      </w:pPr>
      <w:r w:rsidRPr="00EA3030">
        <w:rPr>
          <w:rFonts w:ascii="Helvetica" w:eastAsia="Times New Roman" w:hAnsi="Helvetica" w:cs="Helvetica"/>
          <w:b/>
          <w:bCs/>
          <w:color w:val="000000"/>
          <w:sz w:val="21"/>
          <w:szCs w:val="21"/>
          <w:lang w:eastAsia="it-IT"/>
        </w:rPr>
        <w:t>viene eliminato l’obbligo di effettuare un test antigenico rapido o molecolare</w:t>
      </w:r>
      <w:r w:rsidRPr="00EA3030">
        <w:rPr>
          <w:rFonts w:ascii="Helvetica" w:eastAsia="Times New Roman" w:hAnsi="Helvetica" w:cs="Helvetica"/>
          <w:color w:val="000000"/>
          <w:sz w:val="21"/>
          <w:szCs w:val="21"/>
          <w:lang w:eastAsia="it-IT"/>
        </w:rPr>
        <w:t> per la rilevazione di SARS-CoV-2, anche presso centri privati a ciò abilitati, alla prima comparsa dei sintomi e, se ancora sintomatici, al quinto giorno successivo alla data dell'ultimo contatto.</w:t>
      </w:r>
    </w:p>
    <w:p w14:paraId="68BF080A" w14:textId="77777777" w:rsidR="00EA3030" w:rsidRPr="00EA3030" w:rsidRDefault="00EA3030" w:rsidP="00EA3030">
      <w:pPr>
        <w:numPr>
          <w:ilvl w:val="0"/>
          <w:numId w:val="2"/>
        </w:numPr>
        <w:shd w:val="clear" w:color="auto" w:fill="FFFFFF"/>
        <w:spacing w:after="0" w:line="240" w:lineRule="auto"/>
        <w:rPr>
          <w:rFonts w:ascii="Helvetica" w:eastAsia="Times New Roman" w:hAnsi="Helvetica" w:cs="Helvetica"/>
          <w:color w:val="000000"/>
          <w:sz w:val="21"/>
          <w:szCs w:val="21"/>
          <w:lang w:eastAsia="it-IT"/>
        </w:rPr>
      </w:pPr>
      <w:r w:rsidRPr="00EA3030">
        <w:rPr>
          <w:rFonts w:ascii="Helvetica" w:eastAsia="Times New Roman" w:hAnsi="Helvetica" w:cs="Helvetica"/>
          <w:color w:val="000000"/>
          <w:sz w:val="21"/>
          <w:szCs w:val="21"/>
          <w:lang w:eastAsia="it-IT"/>
        </w:rPr>
        <w:t>viene </w:t>
      </w:r>
      <w:r w:rsidRPr="00EA3030">
        <w:rPr>
          <w:rFonts w:ascii="Helvetica" w:eastAsia="Times New Roman" w:hAnsi="Helvetica" w:cs="Helvetica"/>
          <w:b/>
          <w:bCs/>
          <w:color w:val="000000"/>
          <w:sz w:val="21"/>
          <w:szCs w:val="21"/>
          <w:lang w:eastAsia="it-IT"/>
        </w:rPr>
        <w:t>cancellata la norma che prevede, per coloro che sono risultati positivi al SARS-CoV-2, la cessazione del regime di isolamento all'esito negativo di un test antigenico rapido o molecolare</w:t>
      </w:r>
      <w:r w:rsidRPr="00EA3030">
        <w:rPr>
          <w:rFonts w:ascii="Helvetica" w:eastAsia="Times New Roman" w:hAnsi="Helvetica" w:cs="Helvetica"/>
          <w:color w:val="000000"/>
          <w:sz w:val="21"/>
          <w:szCs w:val="21"/>
          <w:lang w:eastAsia="it-IT"/>
        </w:rPr>
        <w:t> per la rilevazione di SARS-CoV-2, effettuato anche presso centri privati a ciò abilitati.</w:t>
      </w:r>
    </w:p>
    <w:p w14:paraId="03A460DF" w14:textId="77777777" w:rsidR="00EA3030" w:rsidRPr="00EA3030" w:rsidRDefault="00EA3030" w:rsidP="00EA3030">
      <w:pPr>
        <w:shd w:val="clear" w:color="auto" w:fill="FFFFFF"/>
        <w:spacing w:before="100" w:beforeAutospacing="1" w:after="100" w:afterAutospacing="1" w:line="270" w:lineRule="atLeast"/>
        <w:rPr>
          <w:rFonts w:ascii="Helvetica" w:eastAsia="Times New Roman" w:hAnsi="Helvetica" w:cs="Helvetica"/>
          <w:color w:val="000000"/>
          <w:sz w:val="21"/>
          <w:szCs w:val="21"/>
          <w:lang w:eastAsia="it-IT"/>
        </w:rPr>
      </w:pPr>
      <w:r w:rsidRPr="00EA3030">
        <w:rPr>
          <w:rFonts w:ascii="Helvetica" w:eastAsia="Times New Roman" w:hAnsi="Helvetica" w:cs="Helvetica"/>
          <w:i/>
          <w:iCs/>
          <w:color w:val="000000"/>
          <w:sz w:val="21"/>
          <w:szCs w:val="21"/>
          <w:lang w:eastAsia="it-IT"/>
        </w:rPr>
        <w:t>(art. 7-quater)</w:t>
      </w:r>
    </w:p>
    <w:p w14:paraId="5424FA71" w14:textId="77777777" w:rsidR="00EA3030" w:rsidRPr="00EA3030" w:rsidRDefault="00EA3030" w:rsidP="00EA3030">
      <w:pPr>
        <w:shd w:val="clear" w:color="auto" w:fill="FFFFFF"/>
        <w:spacing w:before="100" w:beforeAutospacing="1" w:after="100" w:afterAutospacing="1" w:line="270" w:lineRule="atLeast"/>
        <w:rPr>
          <w:rFonts w:ascii="Helvetica" w:eastAsia="Times New Roman" w:hAnsi="Helvetica" w:cs="Helvetica"/>
          <w:color w:val="000000"/>
          <w:sz w:val="21"/>
          <w:szCs w:val="21"/>
          <w:lang w:eastAsia="it-IT"/>
        </w:rPr>
      </w:pPr>
      <w:r w:rsidRPr="00EA3030">
        <w:rPr>
          <w:rFonts w:ascii="Helvetica" w:eastAsia="Times New Roman" w:hAnsi="Helvetica" w:cs="Helvetica"/>
          <w:i/>
          <w:iCs/>
          <w:color w:val="000000"/>
          <w:sz w:val="21"/>
          <w:szCs w:val="21"/>
          <w:lang w:eastAsia="it-IT"/>
        </w:rPr>
        <w:t>Sanzioni amministrative per violazione dell’obbligo vaccinale</w:t>
      </w:r>
    </w:p>
    <w:p w14:paraId="29A89A11" w14:textId="77777777" w:rsidR="00EA3030" w:rsidRPr="00EA3030" w:rsidRDefault="00EA3030" w:rsidP="00EA3030">
      <w:pPr>
        <w:shd w:val="clear" w:color="auto" w:fill="FFFFFF"/>
        <w:spacing w:before="100" w:beforeAutospacing="1" w:after="100" w:afterAutospacing="1" w:line="270" w:lineRule="atLeast"/>
        <w:rPr>
          <w:rFonts w:ascii="Helvetica" w:eastAsia="Times New Roman" w:hAnsi="Helvetica" w:cs="Helvetica"/>
          <w:color w:val="000000"/>
          <w:sz w:val="21"/>
          <w:szCs w:val="21"/>
          <w:lang w:eastAsia="it-IT"/>
        </w:rPr>
      </w:pPr>
      <w:r w:rsidRPr="00EA3030">
        <w:rPr>
          <w:rFonts w:ascii="Helvetica" w:eastAsia="Times New Roman" w:hAnsi="Helvetica" w:cs="Helvetica"/>
          <w:color w:val="000000"/>
          <w:sz w:val="21"/>
          <w:szCs w:val="21"/>
          <w:lang w:eastAsia="it-IT"/>
        </w:rPr>
        <w:t>Dalla di entrata in vigore della legge di conversione del decreto legge 162/22 e </w:t>
      </w:r>
      <w:r w:rsidRPr="00EA3030">
        <w:rPr>
          <w:rFonts w:ascii="Helvetica" w:eastAsia="Times New Roman" w:hAnsi="Helvetica" w:cs="Helvetica"/>
          <w:b/>
          <w:bCs/>
          <w:color w:val="000000"/>
          <w:sz w:val="21"/>
          <w:szCs w:val="21"/>
          <w:lang w:eastAsia="it-IT"/>
        </w:rPr>
        <w:t>fino al 30 giugno 2023 sono sospesi le attività e i procedimenti di irrogazione della sanzione amministrativa pecuniaria, pari a cento euro, prevista per l'inadempimento dell'obbligo di vaccinazione</w:t>
      </w:r>
      <w:r w:rsidRPr="00EA3030">
        <w:rPr>
          <w:rFonts w:ascii="Helvetica" w:eastAsia="Times New Roman" w:hAnsi="Helvetica" w:cs="Helvetica"/>
          <w:color w:val="000000"/>
          <w:sz w:val="21"/>
          <w:szCs w:val="21"/>
          <w:lang w:eastAsia="it-IT"/>
        </w:rPr>
        <w:t> contro il COVID-19, obbligo già stabilito per i soggetti di età pari o superiore a cinquanta anni nonché per specifiche categorie di lavoratori a prescindere dall'età del soggetto (ad es. il personale scolastico, delle università, delle istituzioni Afam, degli ITS, ecc.). Ricordiamo che la sanzione amministrativa è irrogata dal Ministero della salute, tramite l’Agenzia delle entrate-Riscossione, il quale vi provvede sulla base degli elenchi dei soggetti inadempienti all’obbligo vaccinale, periodicamente predisposti e trasmessi dal Ministero. </w:t>
      </w:r>
      <w:r w:rsidRPr="00EA3030">
        <w:rPr>
          <w:rFonts w:ascii="Helvetica" w:eastAsia="Times New Roman" w:hAnsi="Helvetica" w:cs="Helvetica"/>
          <w:i/>
          <w:iCs/>
          <w:color w:val="000000"/>
          <w:sz w:val="21"/>
          <w:szCs w:val="21"/>
          <w:lang w:eastAsia="it-IT"/>
        </w:rPr>
        <w:t>(art. 7 comma 1 bis).</w:t>
      </w:r>
    </w:p>
    <w:p w14:paraId="442B4FEC" w14:textId="77777777" w:rsidR="00EA3030" w:rsidRPr="00EA3030" w:rsidRDefault="00EA3030" w:rsidP="00EA3030">
      <w:pPr>
        <w:shd w:val="clear" w:color="auto" w:fill="FFFFFF"/>
        <w:spacing w:before="100" w:beforeAutospacing="1" w:after="100" w:afterAutospacing="1" w:line="270" w:lineRule="atLeast"/>
        <w:rPr>
          <w:rFonts w:ascii="Helvetica" w:eastAsia="Times New Roman" w:hAnsi="Helvetica" w:cs="Helvetica"/>
          <w:color w:val="000000"/>
          <w:sz w:val="21"/>
          <w:szCs w:val="21"/>
          <w:lang w:eastAsia="it-IT"/>
        </w:rPr>
      </w:pPr>
      <w:r w:rsidRPr="00EA3030">
        <w:rPr>
          <w:rFonts w:ascii="Helvetica" w:eastAsia="Times New Roman" w:hAnsi="Helvetica" w:cs="Helvetica"/>
          <w:i/>
          <w:iCs/>
          <w:color w:val="000000"/>
          <w:sz w:val="21"/>
          <w:szCs w:val="21"/>
          <w:lang w:eastAsia="it-IT"/>
        </w:rPr>
        <w:t>Obbligo vaccinale</w:t>
      </w:r>
    </w:p>
    <w:p w14:paraId="4CA5F117" w14:textId="77777777" w:rsidR="00EA3030" w:rsidRPr="00EA3030" w:rsidRDefault="00EA3030" w:rsidP="00EA3030">
      <w:pPr>
        <w:shd w:val="clear" w:color="auto" w:fill="FFFFFF"/>
        <w:spacing w:before="100" w:beforeAutospacing="1" w:after="100" w:afterAutospacing="1" w:line="270" w:lineRule="atLeast"/>
        <w:rPr>
          <w:rFonts w:ascii="Helvetica" w:eastAsia="Times New Roman" w:hAnsi="Helvetica" w:cs="Helvetica"/>
          <w:color w:val="000000"/>
          <w:sz w:val="21"/>
          <w:szCs w:val="21"/>
          <w:lang w:eastAsia="it-IT"/>
        </w:rPr>
      </w:pPr>
      <w:r w:rsidRPr="00EA3030">
        <w:rPr>
          <w:rFonts w:ascii="Helvetica" w:eastAsia="Times New Roman" w:hAnsi="Helvetica" w:cs="Helvetica"/>
          <w:b/>
          <w:bCs/>
          <w:color w:val="000000"/>
          <w:sz w:val="21"/>
          <w:szCs w:val="21"/>
          <w:lang w:eastAsia="it-IT"/>
        </w:rPr>
        <w:t>L'obbligo vaccinale per gli studenti dei corsi di laurea</w:t>
      </w:r>
      <w:r w:rsidRPr="00EA3030">
        <w:rPr>
          <w:rFonts w:ascii="Helvetica" w:eastAsia="Times New Roman" w:hAnsi="Helvetica" w:cs="Helvetica"/>
          <w:color w:val="000000"/>
          <w:sz w:val="21"/>
          <w:szCs w:val="21"/>
          <w:lang w:eastAsia="it-IT"/>
        </w:rPr>
        <w:t> impegnati nello svolgimento dei tirocini pratico-valutativi finalizzati al conseguimento dell'</w:t>
      </w:r>
      <w:r w:rsidRPr="00EA3030">
        <w:rPr>
          <w:rFonts w:ascii="Helvetica" w:eastAsia="Times New Roman" w:hAnsi="Helvetica" w:cs="Helvetica"/>
          <w:b/>
          <w:bCs/>
          <w:color w:val="000000"/>
          <w:sz w:val="21"/>
          <w:szCs w:val="21"/>
          <w:lang w:eastAsia="it-IT"/>
        </w:rPr>
        <w:t>abilitazione all'esercizio delle professioni sanitarie non trova più applicazione dal 2 novembre 2022</w:t>
      </w:r>
      <w:r w:rsidRPr="00EA3030">
        <w:rPr>
          <w:rFonts w:ascii="Helvetica" w:eastAsia="Times New Roman" w:hAnsi="Helvetica" w:cs="Helvetica"/>
          <w:color w:val="000000"/>
          <w:sz w:val="21"/>
          <w:szCs w:val="21"/>
          <w:lang w:eastAsia="it-IT"/>
        </w:rPr>
        <w:t> (in precedenza dal 1° gennaio 2023). La norma è in vigore dal 1° novembre 2022 </w:t>
      </w:r>
      <w:r w:rsidRPr="00EA3030">
        <w:rPr>
          <w:rFonts w:ascii="Helvetica" w:eastAsia="Times New Roman" w:hAnsi="Helvetica" w:cs="Helvetica"/>
          <w:i/>
          <w:iCs/>
          <w:color w:val="000000"/>
          <w:sz w:val="21"/>
          <w:szCs w:val="21"/>
          <w:lang w:eastAsia="it-IT"/>
        </w:rPr>
        <w:t>(art. 7 comma 1 lettera a) n. 1).</w:t>
      </w:r>
    </w:p>
    <w:p w14:paraId="151EEFD3" w14:textId="77777777" w:rsidR="00EA3030" w:rsidRPr="00EA3030" w:rsidRDefault="00EA3030" w:rsidP="00EA3030">
      <w:pPr>
        <w:shd w:val="clear" w:color="auto" w:fill="FFFFFF"/>
        <w:spacing w:before="100" w:beforeAutospacing="1" w:after="100" w:afterAutospacing="1" w:line="270" w:lineRule="atLeast"/>
        <w:rPr>
          <w:rFonts w:ascii="Helvetica" w:eastAsia="Times New Roman" w:hAnsi="Helvetica" w:cs="Helvetica"/>
          <w:color w:val="000000"/>
          <w:sz w:val="21"/>
          <w:szCs w:val="21"/>
          <w:lang w:eastAsia="it-IT"/>
        </w:rPr>
      </w:pPr>
      <w:r w:rsidRPr="00EA3030">
        <w:rPr>
          <w:rFonts w:ascii="Helvetica" w:eastAsia="Times New Roman" w:hAnsi="Helvetica" w:cs="Helvetica"/>
          <w:i/>
          <w:iCs/>
          <w:color w:val="000000"/>
          <w:sz w:val="21"/>
          <w:szCs w:val="21"/>
          <w:lang w:eastAsia="it-IT"/>
        </w:rPr>
        <w:t>Unità per il completamento della campagna vaccinale</w:t>
      </w:r>
    </w:p>
    <w:p w14:paraId="5EE33DC7" w14:textId="77777777" w:rsidR="00EA3030" w:rsidRPr="00EA3030" w:rsidRDefault="00EA3030" w:rsidP="00EA3030">
      <w:pPr>
        <w:shd w:val="clear" w:color="auto" w:fill="FFFFFF"/>
        <w:spacing w:before="100" w:beforeAutospacing="1" w:after="100" w:afterAutospacing="1" w:line="270" w:lineRule="atLeast"/>
        <w:rPr>
          <w:rFonts w:ascii="Helvetica" w:eastAsia="Times New Roman" w:hAnsi="Helvetica" w:cs="Helvetica"/>
          <w:color w:val="000000"/>
          <w:sz w:val="21"/>
          <w:szCs w:val="21"/>
          <w:lang w:eastAsia="it-IT"/>
        </w:rPr>
      </w:pPr>
      <w:r w:rsidRPr="00EA3030">
        <w:rPr>
          <w:rFonts w:ascii="Helvetica" w:eastAsia="Times New Roman" w:hAnsi="Helvetica" w:cs="Helvetica"/>
          <w:b/>
          <w:bCs/>
          <w:color w:val="000000"/>
          <w:sz w:val="21"/>
          <w:szCs w:val="21"/>
          <w:lang w:eastAsia="it-IT"/>
        </w:rPr>
        <w:t>Prorogate dal 31 dicembre 2022 al 30 giugno 2023 le norme sulla istituzione e funzionamento dell'Unità per il completamento della campagna vaccinale</w:t>
      </w:r>
      <w:r w:rsidRPr="00EA3030">
        <w:rPr>
          <w:rFonts w:ascii="Helvetica" w:eastAsia="Times New Roman" w:hAnsi="Helvetica" w:cs="Helvetica"/>
          <w:color w:val="000000"/>
          <w:sz w:val="21"/>
          <w:szCs w:val="21"/>
          <w:lang w:eastAsia="it-IT"/>
        </w:rPr>
        <w:t> e per l’adozione di altre misure di contrasto della pandemia (da COVID-19). Conseguentemente il subentro del Ministero della salute nelle funzioni e nei rapporti attivi e passivi facenti capo alla suddetta Unità. Viene differito dal1° gennaio 2023 al 1° luglio 2023. </w:t>
      </w:r>
      <w:r w:rsidRPr="00EA3030">
        <w:rPr>
          <w:rFonts w:ascii="Helvetica" w:eastAsia="Times New Roman" w:hAnsi="Helvetica" w:cs="Helvetica"/>
          <w:i/>
          <w:iCs/>
          <w:color w:val="000000"/>
          <w:sz w:val="21"/>
          <w:szCs w:val="21"/>
          <w:lang w:eastAsia="it-IT"/>
        </w:rPr>
        <w:t>(art. 7 comma 1 ter)</w:t>
      </w:r>
    </w:p>
    <w:p w14:paraId="4EC5EA1D" w14:textId="77777777" w:rsidR="00EA3030" w:rsidRPr="00EA3030" w:rsidRDefault="00EA3030" w:rsidP="00EA3030">
      <w:pPr>
        <w:shd w:val="clear" w:color="auto" w:fill="FFFFFF"/>
        <w:spacing w:before="100" w:beforeAutospacing="1" w:after="100" w:afterAutospacing="1" w:line="270" w:lineRule="atLeast"/>
        <w:rPr>
          <w:rFonts w:ascii="Helvetica" w:eastAsia="Times New Roman" w:hAnsi="Helvetica" w:cs="Helvetica"/>
          <w:color w:val="000000"/>
          <w:sz w:val="21"/>
          <w:szCs w:val="21"/>
          <w:lang w:eastAsia="it-IT"/>
        </w:rPr>
      </w:pPr>
      <w:r w:rsidRPr="00EA3030">
        <w:rPr>
          <w:rFonts w:ascii="Helvetica" w:eastAsia="Times New Roman" w:hAnsi="Helvetica" w:cs="Helvetica"/>
          <w:i/>
          <w:iCs/>
          <w:color w:val="000000"/>
          <w:sz w:val="21"/>
          <w:szCs w:val="21"/>
          <w:lang w:eastAsia="it-IT"/>
        </w:rPr>
        <w:t>Piano strategico-operativo nazionale di preparazione e risposta a una pandemia influenzale (</w:t>
      </w:r>
      <w:proofErr w:type="spellStart"/>
      <w:r w:rsidRPr="00EA3030">
        <w:rPr>
          <w:rFonts w:ascii="Helvetica" w:eastAsia="Times New Roman" w:hAnsi="Helvetica" w:cs="Helvetica"/>
          <w:i/>
          <w:iCs/>
          <w:color w:val="000000"/>
          <w:sz w:val="21"/>
          <w:szCs w:val="21"/>
          <w:lang w:eastAsia="it-IT"/>
        </w:rPr>
        <w:t>PanFlu</w:t>
      </w:r>
      <w:proofErr w:type="spellEnd"/>
      <w:r w:rsidRPr="00EA3030">
        <w:rPr>
          <w:rFonts w:ascii="Helvetica" w:eastAsia="Times New Roman" w:hAnsi="Helvetica" w:cs="Helvetica"/>
          <w:i/>
          <w:iCs/>
          <w:color w:val="000000"/>
          <w:sz w:val="21"/>
          <w:szCs w:val="21"/>
          <w:lang w:eastAsia="it-IT"/>
        </w:rPr>
        <w:t>)</w:t>
      </w:r>
    </w:p>
    <w:p w14:paraId="19B326D1" w14:textId="77777777" w:rsidR="00EA3030" w:rsidRPr="00EA3030" w:rsidRDefault="00EA3030" w:rsidP="00EA3030">
      <w:pPr>
        <w:shd w:val="clear" w:color="auto" w:fill="FFFFFF"/>
        <w:spacing w:before="100" w:beforeAutospacing="1" w:after="100" w:afterAutospacing="1" w:line="270" w:lineRule="atLeast"/>
        <w:rPr>
          <w:rFonts w:ascii="Helvetica" w:eastAsia="Times New Roman" w:hAnsi="Helvetica" w:cs="Helvetica"/>
          <w:color w:val="000000"/>
          <w:sz w:val="21"/>
          <w:szCs w:val="21"/>
          <w:lang w:eastAsia="it-IT"/>
        </w:rPr>
      </w:pPr>
      <w:r w:rsidRPr="00EA3030">
        <w:rPr>
          <w:rFonts w:ascii="Helvetica" w:eastAsia="Times New Roman" w:hAnsi="Helvetica" w:cs="Helvetica"/>
          <w:color w:val="000000"/>
          <w:sz w:val="21"/>
          <w:szCs w:val="21"/>
          <w:lang w:eastAsia="it-IT"/>
        </w:rPr>
        <w:t>Per consentire l'assolvimento dei compiti attribuiti alle amministrazioni centrali dal Piano strategico-operativo nazionale di preparazione e risposta a una pandemia influenzale (</w:t>
      </w:r>
      <w:proofErr w:type="spellStart"/>
      <w:r w:rsidRPr="00EA3030">
        <w:rPr>
          <w:rFonts w:ascii="Helvetica" w:eastAsia="Times New Roman" w:hAnsi="Helvetica" w:cs="Helvetica"/>
          <w:color w:val="000000"/>
          <w:sz w:val="21"/>
          <w:szCs w:val="21"/>
          <w:lang w:eastAsia="it-IT"/>
        </w:rPr>
        <w:t>PanFlu</w:t>
      </w:r>
      <w:proofErr w:type="spellEnd"/>
      <w:r w:rsidRPr="00EA3030">
        <w:rPr>
          <w:rFonts w:ascii="Helvetica" w:eastAsia="Times New Roman" w:hAnsi="Helvetica" w:cs="Helvetica"/>
          <w:color w:val="000000"/>
          <w:sz w:val="21"/>
          <w:szCs w:val="21"/>
          <w:lang w:eastAsia="it-IT"/>
        </w:rPr>
        <w:t>) 2021-2023, </w:t>
      </w:r>
      <w:r w:rsidRPr="00EA3030">
        <w:rPr>
          <w:rFonts w:ascii="Helvetica" w:eastAsia="Times New Roman" w:hAnsi="Helvetica" w:cs="Helvetica"/>
          <w:b/>
          <w:bCs/>
          <w:color w:val="000000"/>
          <w:sz w:val="21"/>
          <w:szCs w:val="21"/>
          <w:lang w:eastAsia="it-IT"/>
        </w:rPr>
        <w:t>i capitoli dello stato di previsione del Ministero della salute sono complessivamente incrementati di 35,8 milioni di euro per l'anno 2023, di cui 3,9 milioni di euro da trasferire all'Istituto superiore di sanità </w:t>
      </w:r>
      <w:r w:rsidRPr="00EA3030">
        <w:rPr>
          <w:rFonts w:ascii="Helvetica" w:eastAsia="Times New Roman" w:hAnsi="Helvetica" w:cs="Helvetica"/>
          <w:color w:val="000000"/>
          <w:sz w:val="21"/>
          <w:szCs w:val="21"/>
          <w:lang w:eastAsia="it-IT"/>
        </w:rPr>
        <w:t>per le medesime finalità per l'anno 2023 </w:t>
      </w:r>
      <w:r w:rsidRPr="00EA3030">
        <w:rPr>
          <w:rFonts w:ascii="Helvetica" w:eastAsia="Times New Roman" w:hAnsi="Helvetica" w:cs="Helvetica"/>
          <w:i/>
          <w:iCs/>
          <w:color w:val="000000"/>
          <w:sz w:val="21"/>
          <w:szCs w:val="21"/>
          <w:lang w:eastAsia="it-IT"/>
        </w:rPr>
        <w:t>(art. 7-bis comma 1 lettera a).</w:t>
      </w:r>
    </w:p>
    <w:p w14:paraId="08E4CFF5" w14:textId="77777777" w:rsidR="00EA3030" w:rsidRPr="00EA3030" w:rsidRDefault="00EA3030" w:rsidP="00EA3030">
      <w:pPr>
        <w:shd w:val="clear" w:color="auto" w:fill="FFFFFF"/>
        <w:spacing w:line="240" w:lineRule="auto"/>
        <w:rPr>
          <w:rFonts w:ascii="Helvetica" w:eastAsia="Times New Roman" w:hAnsi="Helvetica" w:cs="Helvetica"/>
          <w:color w:val="000000"/>
          <w:sz w:val="21"/>
          <w:szCs w:val="21"/>
          <w:lang w:eastAsia="it-IT"/>
        </w:rPr>
      </w:pPr>
      <w:r w:rsidRPr="00EA3030">
        <w:rPr>
          <w:rFonts w:ascii="Helvetica" w:eastAsia="Times New Roman" w:hAnsi="Helvetica" w:cs="Helvetica"/>
          <w:b/>
          <w:bCs/>
          <w:color w:val="000000"/>
          <w:sz w:val="21"/>
          <w:szCs w:val="21"/>
          <w:lang w:eastAsia="it-IT"/>
        </w:rPr>
        <w:t>Tag:</w:t>
      </w:r>
      <w:r w:rsidRPr="00EA3030">
        <w:rPr>
          <w:rFonts w:ascii="Helvetica" w:eastAsia="Times New Roman" w:hAnsi="Helvetica" w:cs="Helvetica"/>
          <w:color w:val="000000"/>
          <w:sz w:val="21"/>
          <w:szCs w:val="21"/>
          <w:lang w:eastAsia="it-IT"/>
        </w:rPr>
        <w:t> </w:t>
      </w:r>
      <w:hyperlink r:id="rId9" w:history="1">
        <w:r w:rsidRPr="00EA3030">
          <w:rPr>
            <w:rFonts w:ascii="Helvetica" w:eastAsia="Times New Roman" w:hAnsi="Helvetica" w:cs="Helvetica"/>
            <w:color w:val="0088CC"/>
            <w:sz w:val="21"/>
            <w:szCs w:val="21"/>
            <w:lang w:eastAsia="it-IT"/>
          </w:rPr>
          <w:t>coronavirus covid-19</w:t>
        </w:r>
      </w:hyperlink>
      <w:r w:rsidRPr="00EA3030">
        <w:rPr>
          <w:rFonts w:ascii="Helvetica" w:eastAsia="Times New Roman" w:hAnsi="Helvetica" w:cs="Helvetica"/>
          <w:color w:val="000000"/>
          <w:sz w:val="21"/>
          <w:szCs w:val="21"/>
          <w:lang w:eastAsia="it-IT"/>
        </w:rPr>
        <w:t>, </w:t>
      </w:r>
      <w:hyperlink r:id="rId10" w:history="1">
        <w:r w:rsidRPr="00EA3030">
          <w:rPr>
            <w:rFonts w:ascii="Helvetica" w:eastAsia="Times New Roman" w:hAnsi="Helvetica" w:cs="Helvetica"/>
            <w:color w:val="0088CC"/>
            <w:sz w:val="21"/>
            <w:szCs w:val="21"/>
            <w:lang w:eastAsia="it-IT"/>
          </w:rPr>
          <w:t>dl 162/22</w:t>
        </w:r>
      </w:hyperlink>
      <w:r w:rsidRPr="00EA3030">
        <w:rPr>
          <w:rFonts w:ascii="Helvetica" w:eastAsia="Times New Roman" w:hAnsi="Helvetica" w:cs="Helvetica"/>
          <w:color w:val="000000"/>
          <w:sz w:val="21"/>
          <w:szCs w:val="21"/>
          <w:lang w:eastAsia="it-IT"/>
        </w:rPr>
        <w:t>, </w:t>
      </w:r>
      <w:hyperlink r:id="rId11" w:history="1">
        <w:r w:rsidRPr="00EA3030">
          <w:rPr>
            <w:rFonts w:ascii="Helvetica" w:eastAsia="Times New Roman" w:hAnsi="Helvetica" w:cs="Helvetica"/>
            <w:color w:val="0088CC"/>
            <w:sz w:val="21"/>
            <w:szCs w:val="21"/>
            <w:lang w:eastAsia="it-IT"/>
          </w:rPr>
          <w:t>dl 44/21</w:t>
        </w:r>
      </w:hyperlink>
      <w:r w:rsidRPr="00EA3030">
        <w:rPr>
          <w:rFonts w:ascii="Helvetica" w:eastAsia="Times New Roman" w:hAnsi="Helvetica" w:cs="Helvetica"/>
          <w:color w:val="000000"/>
          <w:sz w:val="21"/>
          <w:szCs w:val="21"/>
          <w:lang w:eastAsia="it-IT"/>
        </w:rPr>
        <w:t>, </w:t>
      </w:r>
      <w:hyperlink r:id="rId12" w:history="1">
        <w:r w:rsidRPr="00EA3030">
          <w:rPr>
            <w:rFonts w:ascii="Helvetica" w:eastAsia="Times New Roman" w:hAnsi="Helvetica" w:cs="Helvetica"/>
            <w:color w:val="0088CC"/>
            <w:sz w:val="21"/>
            <w:szCs w:val="21"/>
            <w:lang w:eastAsia="it-IT"/>
          </w:rPr>
          <w:t>dl 52/21</w:t>
        </w:r>
      </w:hyperlink>
      <w:r w:rsidRPr="00EA3030">
        <w:rPr>
          <w:rFonts w:ascii="Helvetica" w:eastAsia="Times New Roman" w:hAnsi="Helvetica" w:cs="Helvetica"/>
          <w:color w:val="000000"/>
          <w:sz w:val="21"/>
          <w:szCs w:val="21"/>
          <w:lang w:eastAsia="it-IT"/>
        </w:rPr>
        <w:t>, </w:t>
      </w:r>
      <w:hyperlink r:id="rId13" w:history="1">
        <w:r w:rsidRPr="00EA3030">
          <w:rPr>
            <w:rFonts w:ascii="Helvetica" w:eastAsia="Times New Roman" w:hAnsi="Helvetica" w:cs="Helvetica"/>
            <w:color w:val="0088CC"/>
            <w:sz w:val="21"/>
            <w:szCs w:val="21"/>
            <w:lang w:eastAsia="it-IT"/>
          </w:rPr>
          <w:t>legge 234/21</w:t>
        </w:r>
      </w:hyperlink>
      <w:r w:rsidRPr="00EA3030">
        <w:rPr>
          <w:rFonts w:ascii="Helvetica" w:eastAsia="Times New Roman" w:hAnsi="Helvetica" w:cs="Helvetica"/>
          <w:color w:val="000000"/>
          <w:sz w:val="21"/>
          <w:szCs w:val="21"/>
          <w:lang w:eastAsia="it-IT"/>
        </w:rPr>
        <w:t>, </w:t>
      </w:r>
      <w:hyperlink r:id="rId14" w:history="1">
        <w:r w:rsidRPr="00EA3030">
          <w:rPr>
            <w:rFonts w:ascii="Helvetica" w:eastAsia="Times New Roman" w:hAnsi="Helvetica" w:cs="Helvetica"/>
            <w:color w:val="0088CC"/>
            <w:sz w:val="21"/>
            <w:szCs w:val="21"/>
            <w:lang w:eastAsia="it-IT"/>
          </w:rPr>
          <w:t>legge 76/21</w:t>
        </w:r>
      </w:hyperlink>
      <w:r w:rsidRPr="00EA3030">
        <w:rPr>
          <w:rFonts w:ascii="Helvetica" w:eastAsia="Times New Roman" w:hAnsi="Helvetica" w:cs="Helvetica"/>
          <w:color w:val="000000"/>
          <w:sz w:val="21"/>
          <w:szCs w:val="21"/>
          <w:lang w:eastAsia="it-IT"/>
        </w:rPr>
        <w:t>, </w:t>
      </w:r>
      <w:hyperlink r:id="rId15" w:history="1">
        <w:r w:rsidRPr="00EA3030">
          <w:rPr>
            <w:rFonts w:ascii="Helvetica" w:eastAsia="Times New Roman" w:hAnsi="Helvetica" w:cs="Helvetica"/>
            <w:color w:val="0088CC"/>
            <w:sz w:val="21"/>
            <w:szCs w:val="21"/>
            <w:lang w:eastAsia="it-IT"/>
          </w:rPr>
          <w:t>legge 87/21</w:t>
        </w:r>
      </w:hyperlink>
      <w:r w:rsidRPr="00EA3030">
        <w:rPr>
          <w:rFonts w:ascii="Helvetica" w:eastAsia="Times New Roman" w:hAnsi="Helvetica" w:cs="Helvetica"/>
          <w:color w:val="000000"/>
          <w:sz w:val="21"/>
          <w:szCs w:val="21"/>
          <w:lang w:eastAsia="it-IT"/>
        </w:rPr>
        <w:t>, </w:t>
      </w:r>
      <w:proofErr w:type="spellStart"/>
      <w:r w:rsidRPr="00EA3030">
        <w:rPr>
          <w:rFonts w:ascii="Helvetica" w:eastAsia="Times New Roman" w:hAnsi="Helvetica" w:cs="Helvetica"/>
          <w:color w:val="000000"/>
          <w:sz w:val="21"/>
          <w:szCs w:val="21"/>
          <w:lang w:eastAsia="it-IT"/>
        </w:rPr>
        <w:fldChar w:fldCharType="begin"/>
      </w:r>
      <w:r w:rsidRPr="00EA3030">
        <w:rPr>
          <w:rFonts w:ascii="Helvetica" w:eastAsia="Times New Roman" w:hAnsi="Helvetica" w:cs="Helvetica"/>
          <w:color w:val="000000"/>
          <w:sz w:val="21"/>
          <w:szCs w:val="21"/>
          <w:lang w:eastAsia="it-IT"/>
        </w:rPr>
        <w:instrText xml:space="preserve"> HYPERLINK "https://m.flcgil.it/tag/miur/" </w:instrText>
      </w:r>
      <w:r w:rsidRPr="00EA3030">
        <w:rPr>
          <w:rFonts w:ascii="Helvetica" w:eastAsia="Times New Roman" w:hAnsi="Helvetica" w:cs="Helvetica"/>
          <w:color w:val="000000"/>
          <w:sz w:val="21"/>
          <w:szCs w:val="21"/>
          <w:lang w:eastAsia="it-IT"/>
        </w:rPr>
        <w:fldChar w:fldCharType="separate"/>
      </w:r>
      <w:r w:rsidRPr="00EA3030">
        <w:rPr>
          <w:rFonts w:ascii="Helvetica" w:eastAsia="Times New Roman" w:hAnsi="Helvetica" w:cs="Helvetica"/>
          <w:color w:val="0088CC"/>
          <w:sz w:val="21"/>
          <w:szCs w:val="21"/>
          <w:lang w:eastAsia="it-IT"/>
        </w:rPr>
        <w:t>miur</w:t>
      </w:r>
      <w:proofErr w:type="spellEnd"/>
      <w:r w:rsidRPr="00EA3030">
        <w:rPr>
          <w:rFonts w:ascii="Helvetica" w:eastAsia="Times New Roman" w:hAnsi="Helvetica" w:cs="Helvetica"/>
          <w:color w:val="000000"/>
          <w:sz w:val="21"/>
          <w:szCs w:val="21"/>
          <w:lang w:eastAsia="it-IT"/>
        </w:rPr>
        <w:fldChar w:fldCharType="end"/>
      </w:r>
      <w:r w:rsidRPr="00EA3030">
        <w:rPr>
          <w:rFonts w:ascii="Helvetica" w:eastAsia="Times New Roman" w:hAnsi="Helvetica" w:cs="Helvetica"/>
          <w:color w:val="000000"/>
          <w:sz w:val="21"/>
          <w:szCs w:val="21"/>
          <w:lang w:eastAsia="it-IT"/>
        </w:rPr>
        <w:t>, </w:t>
      </w:r>
      <w:hyperlink r:id="rId16" w:history="1">
        <w:r w:rsidRPr="00EA3030">
          <w:rPr>
            <w:rFonts w:ascii="Helvetica" w:eastAsia="Times New Roman" w:hAnsi="Helvetica" w:cs="Helvetica"/>
            <w:color w:val="0088CC"/>
            <w:sz w:val="21"/>
            <w:szCs w:val="21"/>
            <w:lang w:eastAsia="it-IT"/>
          </w:rPr>
          <w:t>salute</w:t>
        </w:r>
      </w:hyperlink>
      <w:r w:rsidRPr="00EA3030">
        <w:rPr>
          <w:rFonts w:ascii="Helvetica" w:eastAsia="Times New Roman" w:hAnsi="Helvetica" w:cs="Helvetica"/>
          <w:color w:val="000000"/>
          <w:sz w:val="21"/>
          <w:szCs w:val="21"/>
          <w:lang w:eastAsia="it-IT"/>
        </w:rPr>
        <w:t>, </w:t>
      </w:r>
      <w:hyperlink r:id="rId17" w:history="1">
        <w:r w:rsidRPr="00EA3030">
          <w:rPr>
            <w:rFonts w:ascii="Helvetica" w:eastAsia="Times New Roman" w:hAnsi="Helvetica" w:cs="Helvetica"/>
            <w:color w:val="0088CC"/>
            <w:sz w:val="21"/>
            <w:szCs w:val="21"/>
            <w:lang w:eastAsia="it-IT"/>
          </w:rPr>
          <w:t>sicurezza sul lavoro</w:t>
        </w:r>
      </w:hyperlink>
    </w:p>
    <w:p w14:paraId="4D0AAE0A" w14:textId="77777777" w:rsidR="00EA3030" w:rsidRPr="00EA3030" w:rsidRDefault="00EA3030" w:rsidP="00EA3030">
      <w:pPr>
        <w:shd w:val="clear" w:color="auto" w:fill="6E767E"/>
        <w:spacing w:after="0" w:line="240" w:lineRule="auto"/>
        <w:ind w:left="165"/>
        <w:outlineLvl w:val="2"/>
        <w:rPr>
          <w:rFonts w:ascii="Helvetica" w:eastAsia="Times New Roman" w:hAnsi="Helvetica" w:cs="Helvetica"/>
          <w:b/>
          <w:bCs/>
          <w:caps/>
          <w:color w:val="000000"/>
          <w:sz w:val="21"/>
          <w:szCs w:val="21"/>
          <w:lang w:eastAsia="it-IT"/>
        </w:rPr>
      </w:pPr>
      <w:r w:rsidRPr="00EA3030">
        <w:rPr>
          <w:rFonts w:ascii="Helvetica" w:eastAsia="Times New Roman" w:hAnsi="Helvetica" w:cs="Helvetica"/>
          <w:b/>
          <w:bCs/>
          <w:caps/>
          <w:color w:val="000000"/>
          <w:sz w:val="21"/>
          <w:szCs w:val="21"/>
          <w:lang w:eastAsia="it-IT"/>
        </w:rPr>
        <w:t>FLC CGIL</w:t>
      </w:r>
    </w:p>
    <w:p w14:paraId="1CF92084" w14:textId="77777777" w:rsidR="00820E82" w:rsidRDefault="00820E82"/>
    <w:sectPr w:rsidR="00820E8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681F20"/>
    <w:multiLevelType w:val="multilevel"/>
    <w:tmpl w:val="7F241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A475A7"/>
    <w:multiLevelType w:val="multilevel"/>
    <w:tmpl w:val="D2047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5761440">
    <w:abstractNumId w:val="1"/>
  </w:num>
  <w:num w:numId="2" w16cid:durableId="796029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030"/>
    <w:rsid w:val="00820E82"/>
    <w:rsid w:val="00EA30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1DC6E"/>
  <w15:chartTrackingRefBased/>
  <w15:docId w15:val="{8DBD9A24-49FB-45C4-A697-791A3B14A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798581">
      <w:bodyDiv w:val="1"/>
      <w:marLeft w:val="0"/>
      <w:marRight w:val="0"/>
      <w:marTop w:val="0"/>
      <w:marBottom w:val="0"/>
      <w:divBdr>
        <w:top w:val="none" w:sz="0" w:space="0" w:color="auto"/>
        <w:left w:val="none" w:sz="0" w:space="0" w:color="auto"/>
        <w:bottom w:val="none" w:sz="0" w:space="0" w:color="auto"/>
        <w:right w:val="none" w:sz="0" w:space="0" w:color="auto"/>
      </w:divBdr>
      <w:divsChild>
        <w:div w:id="981082245">
          <w:marLeft w:val="0"/>
          <w:marRight w:val="0"/>
          <w:marTop w:val="75"/>
          <w:marBottom w:val="0"/>
          <w:divBdr>
            <w:top w:val="none" w:sz="0" w:space="0" w:color="auto"/>
            <w:left w:val="none" w:sz="0" w:space="0" w:color="auto"/>
            <w:bottom w:val="none" w:sz="0" w:space="0" w:color="auto"/>
            <w:right w:val="none" w:sz="0" w:space="0" w:color="auto"/>
          </w:divBdr>
          <w:divsChild>
            <w:div w:id="565457755">
              <w:marLeft w:val="0"/>
              <w:marRight w:val="0"/>
              <w:marTop w:val="0"/>
              <w:marBottom w:val="0"/>
              <w:divBdr>
                <w:top w:val="none" w:sz="0" w:space="0" w:color="auto"/>
                <w:left w:val="none" w:sz="0" w:space="0" w:color="auto"/>
                <w:bottom w:val="none" w:sz="0" w:space="0" w:color="auto"/>
                <w:right w:val="none" w:sz="0" w:space="0" w:color="auto"/>
              </w:divBdr>
              <w:divsChild>
                <w:div w:id="1138765158">
                  <w:marLeft w:val="0"/>
                  <w:marRight w:val="0"/>
                  <w:marTop w:val="0"/>
                  <w:marBottom w:val="0"/>
                  <w:divBdr>
                    <w:top w:val="none" w:sz="0" w:space="0" w:color="auto"/>
                    <w:left w:val="none" w:sz="0" w:space="0" w:color="auto"/>
                    <w:bottom w:val="none" w:sz="0" w:space="0" w:color="auto"/>
                    <w:right w:val="none" w:sz="0" w:space="0" w:color="auto"/>
                  </w:divBdr>
                  <w:divsChild>
                    <w:div w:id="1995209885">
                      <w:marLeft w:val="0"/>
                      <w:marRight w:val="0"/>
                      <w:marTop w:val="0"/>
                      <w:marBottom w:val="0"/>
                      <w:divBdr>
                        <w:top w:val="none" w:sz="0" w:space="0" w:color="auto"/>
                        <w:left w:val="none" w:sz="0" w:space="0" w:color="auto"/>
                        <w:bottom w:val="none" w:sz="0" w:space="0" w:color="auto"/>
                        <w:right w:val="none" w:sz="0" w:space="0" w:color="auto"/>
                      </w:divBdr>
                    </w:div>
                  </w:divsChild>
                </w:div>
                <w:div w:id="687681014">
                  <w:marLeft w:val="0"/>
                  <w:marRight w:val="0"/>
                  <w:marTop w:val="0"/>
                  <w:marBottom w:val="0"/>
                  <w:divBdr>
                    <w:top w:val="none" w:sz="0" w:space="0" w:color="auto"/>
                    <w:left w:val="none" w:sz="0" w:space="0" w:color="auto"/>
                    <w:bottom w:val="none" w:sz="0" w:space="0" w:color="auto"/>
                    <w:right w:val="none" w:sz="0" w:space="0" w:color="auto"/>
                  </w:divBdr>
                </w:div>
                <w:div w:id="867909447">
                  <w:marLeft w:val="0"/>
                  <w:marRight w:val="0"/>
                  <w:marTop w:val="300"/>
                  <w:marBottom w:val="300"/>
                  <w:divBdr>
                    <w:top w:val="none" w:sz="0" w:space="0" w:color="auto"/>
                    <w:left w:val="none" w:sz="0" w:space="0" w:color="auto"/>
                    <w:bottom w:val="none" w:sz="0" w:space="0" w:color="auto"/>
                    <w:right w:val="none" w:sz="0" w:space="0" w:color="auto"/>
                  </w:divBdr>
                  <w:divsChild>
                    <w:div w:id="135758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567120">
          <w:marLeft w:val="0"/>
          <w:marRight w:val="0"/>
          <w:marTop w:val="0"/>
          <w:marBottom w:val="0"/>
          <w:divBdr>
            <w:top w:val="none" w:sz="0" w:space="0" w:color="auto"/>
            <w:left w:val="none" w:sz="0" w:space="0" w:color="auto"/>
            <w:bottom w:val="none" w:sz="0" w:space="0" w:color="auto"/>
            <w:right w:val="none" w:sz="0" w:space="0" w:color="auto"/>
          </w:divBdr>
          <w:divsChild>
            <w:div w:id="74600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flcgil.it/attualita/emergenza-coronavirus-notizie-provvedimenti.flc" TargetMode="External"/><Relationship Id="rId13" Type="http://schemas.openxmlformats.org/officeDocument/2006/relationships/hyperlink" Target="https://m.flcgil.it/tag/legge-234-21/"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azzettaufficiale.it/eli/id/2022/10/31/22G00176/sg" TargetMode="External"/><Relationship Id="rId12" Type="http://schemas.openxmlformats.org/officeDocument/2006/relationships/hyperlink" Target="https://m.flcgil.it/tag/dl-52-21/" TargetMode="External"/><Relationship Id="rId17" Type="http://schemas.openxmlformats.org/officeDocument/2006/relationships/hyperlink" Target="https://m.flcgil.it/tag/sicurezza-sul-lavoro/" TargetMode="External"/><Relationship Id="rId2" Type="http://schemas.openxmlformats.org/officeDocument/2006/relationships/styles" Target="styles.xml"/><Relationship Id="rId16" Type="http://schemas.openxmlformats.org/officeDocument/2006/relationships/hyperlink" Target="https://m.flcgil.it/tag/salute/"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m.flcgil.it/tag/dl-44-21/" TargetMode="External"/><Relationship Id="rId5" Type="http://schemas.openxmlformats.org/officeDocument/2006/relationships/image" Target="media/image1.jpeg"/><Relationship Id="rId15" Type="http://schemas.openxmlformats.org/officeDocument/2006/relationships/hyperlink" Target="https://m.flcgil.it/tag/legge-87-21/" TargetMode="External"/><Relationship Id="rId10" Type="http://schemas.openxmlformats.org/officeDocument/2006/relationships/hyperlink" Target="https://m.flcgil.it/tag/dl-162-22/"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flcgil.it/tag/coronavirus-covid-19/" TargetMode="External"/><Relationship Id="rId14" Type="http://schemas.openxmlformats.org/officeDocument/2006/relationships/hyperlink" Target="https://m.flcgil.it/tag/legge-76-21/"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979</Words>
  <Characters>5582</Characters>
  <Application>Microsoft Office Word</Application>
  <DocSecurity>0</DocSecurity>
  <Lines>46</Lines>
  <Paragraphs>13</Paragraphs>
  <ScaleCrop>false</ScaleCrop>
  <Company/>
  <LinksUpToDate>false</LinksUpToDate>
  <CharactersWithSpaces>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dc:creator>
  <cp:keywords/>
  <dc:description/>
  <cp:lastModifiedBy>Daniele</cp:lastModifiedBy>
  <cp:revision>1</cp:revision>
  <dcterms:created xsi:type="dcterms:W3CDTF">2022-12-21T15:40:00Z</dcterms:created>
  <dcterms:modified xsi:type="dcterms:W3CDTF">2022-12-21T15:41:00Z</dcterms:modified>
</cp:coreProperties>
</file>